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74a6c0a79534fab" /></Relationships>
</file>

<file path=word/document.xml><?xml version="1.0" encoding="utf-8"?>
<w:document xmlns:r="http://schemas.openxmlformats.org/officeDocument/2006/relationships" xmlns:w="http://schemas.openxmlformats.org/wordprocessingml/2006/main">
  <w:body>
    <w:p>
      <w:pPr>
        <w:pStyle w:val="Title"/>
      </w:pPr>
      <w:r>
        <w:t>Youth Justice Detention file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Youth Justice Detention file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744071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8a038741b8948db">
              <w:r>
                <w:rPr>
                  <w:rStyle w:val="Hyperlink"/>
                  <w:color w:val="244061"/>
                </w:rPr>
                <w:t xml:space="preserve">Youth Justice</w:t>
              </w:r>
            </w:hyperlink>
            <w:r>
              <w:rPr>
                <w:rStyle w:val="row-content"/>
                <w:color w:val="244061"/>
              </w:rPr>
              <w:t xml:space="preserve">, Superseded 23/08/2022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detention file cluster contains information about the periods of detention of young people under youth justice supervision.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detention file contains information on the periods of detention young people under youth justice supervision experience. It includes information on the type of detention and the start and end date of the period of detention (used to calculated duration). It also includes information on why a detention period ended, which aids in describing how young people exit detention. The postcode item in this file enables analyses of the remoteness and socioeconomic status of the areas in which young people lived before they entered detention.</w:t>
            </w:r>
          </w:p>
          <w:p>
            <w:pPr/>
            <w:r>
              <w:rPr>
                <w:rStyle w:val="row-content-rich-text"/>
              </w:rPr>
              <w:t xml:space="preserve">The person identifier is a jurisdictionally-specific code that uniquely identifies a young person (youth justice client) within the State or Territory youth justice agency responsible for the young person. The person identifier is used to link to the client file in order to gain demographic information on young people in detention.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Youth Justice Administrators (AYJA)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846b784914b4b76">
              <w:r>
                <w:rPr>
                  <w:rStyle w:val="Hyperlink"/>
                </w:rPr>
                <w:t xml:space="preserve">Juvenile Justice Detention file cluster</w:t>
              </w:r>
            </w:hyperlink>
          </w:p>
          <w:p>
            <w:pPr>
              <w:spacing w:before="0" w:after="0"/>
            </w:pPr>
            <w:r>
              <w:rPr>
                <w:rStyle w:val="row-content"/>
                <w:color w:val="244061"/>
              </w:rPr>
              <w:t xml:space="preserve">       </w:t>
            </w:r>
            <w:hyperlink w:history="true" r:id="Rf84940a1a6214c04">
              <w:r>
                <w:rPr>
                  <w:rStyle w:val="Hyperlink"/>
                  <w:color w:val="244061"/>
                </w:rPr>
                <w:t xml:space="preserve">Youth Justice</w:t>
              </w:r>
            </w:hyperlink>
            <w:r>
              <w:rPr>
                <w:rStyle w:val="row-content"/>
                <w:color w:val="244061"/>
              </w:rPr>
              <w:t xml:space="preserve">, Superseded 23/08/2022</w:t>
            </w:r>
          </w:p>
          <w:p>
            <w:r>
              <w:br/>
            </w:r>
            <w:r>
              <w:rPr>
                <w:rStyle w:val="row-content"/>
              </w:rPr>
              <w:t xml:space="preserve">Has been superseded by </w:t>
            </w:r>
            <w:hyperlink w:history="true" r:id="Rc0ed2c86963544fe">
              <w:r>
                <w:rPr>
                  <w:rStyle w:val="Hyperlink"/>
                </w:rPr>
                <w:t xml:space="preserve">Youth Justice Detention file cluster</w:t>
              </w:r>
            </w:hyperlink>
          </w:p>
          <w:p>
            <w:pPr>
              <w:spacing w:before="0" w:after="0"/>
            </w:pPr>
            <w:r>
              <w:rPr>
                <w:rStyle w:val="row-content"/>
                <w:color w:val="244061"/>
              </w:rPr>
              <w:t xml:space="preserve">       </w:t>
            </w:r>
            <w:hyperlink w:history="true" r:id="R64539c5103cc4467">
              <w:r>
                <w:rPr>
                  <w:rStyle w:val="Hyperlink"/>
                  <w:color w:val="244061"/>
                </w:rPr>
                <w:t xml:space="preserve">Youth Justice</w:t>
              </w:r>
            </w:hyperlink>
            <w:r>
              <w:rPr>
                <w:rStyle w:val="row-content"/>
                <w:color w:val="244061"/>
              </w:rPr>
              <w:t xml:space="preserve">, Standard 15/02/2022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8d2d5f726db4eb7">
              <w:r>
                <w:rPr>
                  <w:rStyle w:val="Hyperlink"/>
                </w:rPr>
                <w:t xml:space="preserve">Youth Justice NMDS 2018–20</w:t>
              </w:r>
            </w:hyperlink>
          </w:p>
          <w:p>
            <w:pPr>
              <w:spacing w:before="0" w:after="0"/>
            </w:pPr>
            <w:r>
              <w:rPr>
                <w:rStyle w:val="row-content"/>
                <w:color w:val="244061"/>
              </w:rPr>
              <w:t xml:space="preserve">       </w:t>
            </w:r>
            <w:hyperlink w:history="true" r:id="Re97b4537a1d04e44">
              <w:r>
                <w:rPr>
                  <w:rStyle w:val="Hyperlink"/>
                  <w:color w:val="244061"/>
                </w:rPr>
                <w:t xml:space="preserve">Youth Justice</w:t>
              </w:r>
            </w:hyperlink>
            <w:r>
              <w:rPr>
                <w:rStyle w:val="row-content"/>
                <w:color w:val="244061"/>
              </w:rPr>
              <w:t xml:space="preserve">, Superseded 23/08/2022</w:t>
            </w:r>
          </w:p>
          <w:p>
            <w:r>
              <w:rPr>
                <w:rStyle w:val="row-content"/>
                <w:b/>
                <w:i/>
              </w:rPr>
              <w:t xml:space="preserve">Implementation start date: </w:t>
            </w:r>
            <w:r>
              <w:rPr>
                <w:rStyle w:val="row-content"/>
              </w:rPr>
              <w:t xml:space="preserve">01/07/2018</w:t>
            </w:r>
            <w:r>
              <w:br/>
            </w:r>
          </w:p>
          <w:p>
            <w:r>
              <w:rPr>
                <w:rStyle w:val="row-content"/>
                <w:b/>
                <w:i/>
              </w:rPr>
              <w:t xml:space="preserve">Implementation end date: </w:t>
            </w:r>
            <w:r>
              <w:rPr>
                <w:rStyle w:val="row-content"/>
              </w:rPr>
              <w:t xml:space="preserve">30/06/2020</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ebb731b698434da3">
                    <w:r>
                      <w:rPr>
                        <w:rStyle w:val="Hyperlink"/>
                      </w:rPr>
                      <w:t xml:space="preserve">Person—person identifier, XXXXXX[X(14)]</w:t>
                    </w:r>
                  </w:hyperlink>
                </w:p>
                <w:p>
                  <w:r>
                    <w:rPr>
                      <w:b/>
                      <w:i/>
                      <w:color w:val="333333"/>
                    </w:rPr>
                    <w:t xml:space="preserve">DSS specific information:</w:t>
                  </w:r>
                </w:p>
                <w:p>
                  <w:r>
                    <w:t xml:space="preserve">The person identifier is a jurisdictionally-specific code that uniquely identifies a young person (youth justice client) within the State or Territory youth justice department responsible for the young person.</w:t>
                  </w:r>
                </w:p>
                <w:p>
                  <w:r>
                    <w:t xml:space="preserve">A State or Territory identifier should be the first character of the person identifier according to the following:</w:t>
                  </w:r>
                </w:p>
                <w:p>
                  <w:r>
                    <w:t xml:space="preserve">1 New South Wales</w:t>
                  </w:r>
                  <w:r>
                    <w:br/>
                  </w:r>
                  <w:r>
                    <w:t xml:space="preserve"> </w:t>
                  </w:r>
                  <w:r>
                    <w:br/>
                  </w:r>
                  <w:r>
                    <w:t xml:space="preserve">2 Victoria</w:t>
                  </w:r>
                  <w:r>
                    <w:br/>
                  </w:r>
                  <w:r>
                    <w:t xml:space="preserve"> </w:t>
                  </w:r>
                  <w:r>
                    <w:br/>
                  </w:r>
                  <w:r>
                    <w:t xml:space="preserve">3 Queensland</w:t>
                  </w:r>
                  <w:r>
                    <w:br/>
                  </w:r>
                  <w:r>
                    <w:t xml:space="preserve"> </w:t>
                  </w:r>
                  <w:r>
                    <w:br/>
                  </w:r>
                  <w:r>
                    <w:t xml:space="preserve">4 South Australia</w:t>
                  </w:r>
                  <w:r>
                    <w:br/>
                  </w:r>
                  <w:r>
                    <w:t xml:space="preserve"> </w:t>
                  </w:r>
                  <w:r>
                    <w:br/>
                  </w:r>
                  <w:r>
                    <w:t xml:space="preserve">5 Western Australia</w:t>
                  </w:r>
                  <w:r>
                    <w:br/>
                  </w:r>
                  <w:r>
                    <w:t xml:space="preserve"> </w:t>
                  </w:r>
                  <w:r>
                    <w:br/>
                  </w:r>
                  <w:r>
                    <w:t xml:space="preserve">6 Tasmania</w:t>
                  </w:r>
                  <w:r>
                    <w:br/>
                  </w:r>
                  <w:r>
                    <w:t xml:space="preserve"> </w:t>
                  </w:r>
                  <w:r>
                    <w:br/>
                  </w:r>
                  <w:r>
                    <w:t xml:space="preserve">7 Northern Territory</w:t>
                  </w:r>
                  <w:r>
                    <w:br/>
                  </w:r>
                  <w:r>
                    <w:t xml:space="preserve"> </w:t>
                  </w:r>
                  <w:r>
                    <w:br/>
                  </w:r>
                  <w:r>
                    <w:t xml:space="preserve">8 Australian Capital Territory</w:t>
                  </w:r>
                  <w:r>
                    <w:br/>
                  </w:r>
                  <w:r>
                    <w:t xml:space="preserve"> </w:t>
                  </w:r>
                  <w:r>
                    <w:br/>
                  </w:r>
                  <w:r>
                    <w:t xml:space="preserve">9 Other territories (e.g. Christmas Island)</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7eea1ba601ab4333">
                    <w:r>
                      <w:rPr>
                        <w:rStyle w:val="Hyperlink"/>
                      </w:rPr>
                      <w:t xml:space="preserve">Detention period—detention start date, DDMMYYYY</w:t>
                    </w:r>
                  </w:hyperlink>
                </w:p>
                <w:p>
                  <w:r>
                    <w:rPr>
                      <w:b/>
                      <w:i/>
                      <w:color w:val="333333"/>
                    </w:rPr>
                    <w:t xml:space="preserve">DSS specific information:</w:t>
                  </w:r>
                </w:p>
                <w:p>
                  <w:r>
                    <w:t xml:space="preserve">The period of time a person is detained in a remand or detention centre in relation to a particular detention type, without change in detention centre and without escaping or absconding.</w:t>
                  </w:r>
                </w:p>
                <w:p>
                  <w:r>
                    <w:t xml:space="preserve">A person may have concurrent detention periods because detention periods relate to particular types of detention (e.g. remand, sentenced detention). For example, if a person is detained on remand at the same time as they are serving a sentenced detention order, they would have two concurrent detention periods—one period with the details of the remand detention and the other with details on the sentenced detention.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ae8ff449aee04603">
                    <w:r>
                      <w:rPr>
                        <w:rStyle w:val="Hyperlink"/>
                      </w:rPr>
                      <w:t xml:space="preserve">Detention period—detention end date, DDMMYYYY</w:t>
                    </w:r>
                  </w:hyperlink>
                </w:p>
                <w:p>
                  <w:r>
                    <w:rPr>
                      <w:b/>
                      <w:i/>
                      <w:color w:val="333333"/>
                    </w:rPr>
                    <w:t xml:space="preserve">DSS specific information:</w:t>
                  </w:r>
                </w:p>
                <w:p>
                  <w:r>
                    <w:t xml:space="preserve">Detention periods may be concurrent where the detention types are different.</w:t>
                  </w:r>
                </w:p>
                <w:p>
                  <w:r>
                    <w:t xml:space="preserve">When a detention end date is after the end of the reporting period (e.g. for the 2009–10 reporting period, after the 30/06/2010) or if the detention end date is null in the local data system, supply the actual detention end date or insert the dummy date (22/02/2222) if the detention end date is unknown. Do not end the order at the end of the reporting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c05e07e79d124d34">
                    <w:r>
                      <w:rPr>
                        <w:rStyle w:val="Hyperlink"/>
                      </w:rPr>
                      <w:t xml:space="preserve">Detention period—detention type, youth justice detention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f25ff8d1ee13445b">
                    <w:r>
                      <w:rPr>
                        <w:rStyle w:val="Hyperlink"/>
                      </w:rPr>
                      <w:t xml:space="preserve">Detention period—detention end reason, youth justice detention end reason code N[N]</w:t>
                    </w:r>
                  </w:hyperlink>
                </w:p>
                <w:p>
                  <w:r>
                    <w:rPr>
                      <w:b/>
                      <w:i/>
                      <w:color w:val="333333"/>
                    </w:rPr>
                    <w:t xml:space="preserve">DSS specific information:</w:t>
                  </w:r>
                </w:p>
                <w:p>
                  <w:r>
                    <w:t xml:space="preserve">Business rules:</w:t>
                  </w:r>
                </w:p>
                <w:p>
                  <w:pPr>
                    <w:pStyle w:val="ListParagraph"/>
                    <w:numPr>
                      <w:ilvl w:val="0"/>
                      <w:numId w:val="2"/>
                    </w:numPr>
                  </w:pPr>
                  <w:r>
                    <w:t xml:space="preserve">If the </w:t>
                  </w:r>
                  <w:hyperlink w:history="true" r:id="Rbeb9376ffedb49b1">
                    <w:r>
                      <w:rPr>
                        <w:rStyle w:val="Hyperlink"/>
                      </w:rPr>
                      <w:t xml:space="preserve">detention end reason</w:t>
                    </w:r>
                  </w:hyperlink>
                  <w:r>
                    <w:t xml:space="preserve"> is CODE 5 (release on parole), the </w:t>
                  </w:r>
                  <w:hyperlink w:history="true" r:id="R2943aa03757f41af">
                    <w:r>
                      <w:rPr>
                        <w:rStyle w:val="Hyperlink"/>
                      </w:rPr>
                      <w:t xml:space="preserve">detention type</w:t>
                    </w:r>
                  </w:hyperlink>
                  <w:r>
                    <w:t xml:space="preserve"> must be sentenced (CODE 3).</w:t>
                  </w:r>
                </w:p>
                <w:p>
                  <w:pPr>
                    <w:pStyle w:val="ListParagraph"/>
                    <w:numPr>
                      <w:ilvl w:val="0"/>
                      <w:numId w:val="2"/>
                    </w:numPr>
                  </w:pPr>
                  <w:r>
                    <w:t xml:space="preserve">If the detention end reason is released on bail, the detention type must be unsentenced (CODE 1, CODE 2).</w:t>
                  </w:r>
                </w:p>
                <w:p>
                  <w:pPr>
                    <w:pStyle w:val="ListParagraph"/>
                    <w:numPr>
                      <w:ilvl w:val="0"/>
                      <w:numId w:val="2"/>
                    </w:numPr>
                  </w:pPr>
                  <w:r>
                    <w:t xml:space="preserve">If the detention end date is on or before the end of the reporting period, the detention end reason must be a reason other than CODE 0 (not applicable).</w:t>
                  </w:r>
                </w:p>
                <w:p>
                  <w:pPr>
                    <w:pStyle w:val="ListParagraph"/>
                    <w:numPr>
                      <w:ilvl w:val="0"/>
                      <w:numId w:val="2"/>
                    </w:numPr>
                  </w:pPr>
                  <w:r>
                    <w:t xml:space="preserve">If the detention end reason for a previous detention period was CODE 2 (death) there must not be any subsequent detention periods.</w:t>
                  </w:r>
                </w:p>
                <w:p>
                  <w:pPr>
                    <w:pStyle w:val="ListParagraph"/>
                    <w:numPr>
                      <w:ilvl w:val="0"/>
                      <w:numId w:val="2"/>
                    </w:numPr>
                  </w:pPr>
                  <w:r>
                    <w:t xml:space="preserve">If the detention end reason is CODE 2 (death) there must be a corresponding order period with an order end reason of CODE 3 (death).</w:t>
                  </w:r>
                </w:p>
                <w:p>
                  <w:pPr>
                    <w:pStyle w:val="ListParagraph"/>
                    <w:numPr>
                      <w:ilvl w:val="0"/>
                      <w:numId w:val="2"/>
                    </w:numPr>
                  </w:pPr>
                  <w:r>
                    <w:t xml:space="preserve">If the detention end date is on or before the end of the reporting period, the detention end reason must be a reason other than CODE 0 (not applicable).</w:t>
                  </w:r>
                </w:p>
                <w:p>
                  <w:pPr>
                    <w:pStyle w:val="ListParagraph"/>
                    <w:numPr>
                      <w:ilvl w:val="0"/>
                      <w:numId w:val="2"/>
                    </w:numPr>
                  </w:pPr>
                  <w:r>
                    <w:t xml:space="preserve">If the detention end date is after the end of the reporting period, the detention end reason must be CODE 0 (not applicable).</w:t>
                  </w:r>
                </w:p>
                <w:p>
                  <w:pPr>
                    <w:pStyle w:val="ListParagraph"/>
                    <w:numPr>
                      <w:ilvl w:val="0"/>
                      <w:numId w:val="2"/>
                    </w:numPr>
                  </w:pPr>
                  <w:r>
                    <w:t xml:space="preserve">If the detention end reason is CODE 4 (transfer to another youth detention centre within the jurisdiction), the next detention record must start within a day and have the same detention type.</w:t>
                  </w:r>
                </w:p>
                <w:p>
                  <w:r>
                    <w:t xml:space="preserve">No null values.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3e38fc1e44c24c26">
                    <w:r>
                      <w:rPr>
                        <w:rStyle w:val="Hyperlink"/>
                      </w:rPr>
                      <w:t xml:space="preserve">Address—suburb/town/locality name, text X[X(45)]</w:t>
                    </w:r>
                  </w:hyperlink>
                </w:p>
                <w:p>
                  <w:r>
                    <w:rPr>
                      <w:b/>
                      <w:i/>
                      <w:color w:val="333333"/>
                    </w:rPr>
                    <w:t xml:space="preserve">DSS specific information:</w:t>
                  </w:r>
                </w:p>
                <w:p>
                  <w:r>
                    <w:t xml:space="preserve">This item is collected for the young person’s last known home address before entering youth justice detention.</w:t>
                  </w:r>
                </w:p>
                <w:p>
                  <w:r>
                    <w:t xml:space="preserve">A Suburb/Town/Locality may be a town, city, suburb or commonly used location name such as a large agricultural property or Aboriginal community. The name should be spelt correctly and consistently and should not be a youth justice detention facility.</w:t>
                  </w:r>
                </w:p>
                <w:p>
                  <w:r>
                    <w:t xml:space="preserve">Enter ‘Unknown’ where the locality name or geographic area is not known.</w:t>
                  </w:r>
                </w:p>
                <w:p>
                  <w:r>
                    <w:t xml:space="preserve">Enter ‘No fixed address’ where the young person has no fixed address or is homeless.</w:t>
                  </w:r>
                </w:p>
                <w:p>
                  <w:r>
                    <w:t xml:space="preserve">Suburb/Town/Locality should be sourced from the Australia Post Standard postcode file for the relevant year, available on the </w:t>
                  </w:r>
                  <w:hyperlink w:history="true" r:id="Rd445faffd1904309">
                    <w:r>
                      <w:rPr>
                        <w:rStyle w:val="Hyperlink"/>
                      </w:rPr>
                      <w:t xml:space="preserve">Australia Post website</w:t>
                    </w:r>
                  </w:hyperlink>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3716e18412184210">
                    <w:r>
                      <w:rPr>
                        <w:rStyle w:val="Hyperlink"/>
                      </w:rPr>
                      <w:t xml:space="preserve">Address—Australian postcode, Australian postcode code (Postcode datafile) {NNNN}</w:t>
                    </w:r>
                  </w:hyperlink>
                </w:p>
                <w:p>
                  <w:r>
                    <w:rPr>
                      <w:b/>
                      <w:i/>
                      <w:color w:val="333333"/>
                    </w:rPr>
                    <w:t xml:space="preserve">DSS specific information:</w:t>
                  </w:r>
                </w:p>
                <w:p>
                  <w:r>
                    <w:t xml:space="preserve">This item is collected twice: once for the young person’s last known home address before entering youth justice detention and once for the youth detention centre.</w:t>
                  </w:r>
                </w:p>
                <w:p>
                  <w:r>
                    <w:t xml:space="preserve">Suburb/Town/Locality should be sourced from the Australia Post Standard postcode file for the relevant year, available on the </w:t>
                  </w:r>
                  <w:hyperlink w:history="true" r:id="Ra1dd6cfebd0c4abd">
                    <w:r>
                      <w:rPr>
                        <w:rStyle w:val="Hyperlink"/>
                      </w:rPr>
                      <w:t xml:space="preserve">Australia Post website</w:t>
                    </w:r>
                  </w:hyperlink>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9bb14a8bf2324037">
                    <w:r>
                      <w:rPr>
                        <w:rStyle w:val="Hyperlink"/>
                      </w:rPr>
                      <w:t xml:space="preserve">Person—Australian state/territory identifier, code N</w:t>
                    </w:r>
                  </w:hyperlink>
                </w:p>
                <w:p>
                  <w:r>
                    <w:rPr>
                      <w:b/>
                      <w:i/>
                      <w:color w:val="333333"/>
                    </w:rPr>
                    <w:t xml:space="preserve">DSS specific information:</w:t>
                  </w:r>
                </w:p>
                <w:p>
                  <w:r>
                    <w:t xml:space="preserve">This item is collected for the young person’s last known home address before entering youth justice detention.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e8abf040495d42d6">
                    <w:r>
                      <w:rPr>
                        <w:rStyle w:val="Hyperlink"/>
                      </w:rPr>
                      <w:t xml:space="preserve">Organisation—organisation name, text X[X(199)]</w:t>
                    </w:r>
                  </w:hyperlink>
                </w:p>
                <w:p>
                  <w:r>
                    <w:rPr>
                      <w:b/>
                      <w:i/>
                      <w:color w:val="333333"/>
                    </w:rPr>
                    <w:t xml:space="preserve">DSS specific information:</w:t>
                  </w:r>
                </w:p>
                <w:p>
                  <w:r>
                    <w:t xml:space="preserve">This Data Element is used in the Detention file cluster to identify the name of the youth justice remand or detention centre where the young person is detained.</w:t>
                  </w:r>
                </w:p>
                <w:p>
                  <w:r>
                    <w:t xml:space="preserve">If the detention end date of the current detention period is after the detention start date of the next detention period, the organisation name (youth justice remand or detention centre) of the current period and the next detention period must be the same.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bl>
          <w:p/>
        </w:tc>
      </w:tr>
    </w:tbl>
    <w:p>
      <w:r>
        <w:br/>
      </w:r>
    </w:p>
    <w:sectPr>
      <w:footerReference xmlns:r="http://schemas.openxmlformats.org/officeDocument/2006/relationships" w:type="default" r:id="R2041f40463324eb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744071</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97e867499fc4f5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041f40463324eba" /><Relationship Type="http://schemas.openxmlformats.org/officeDocument/2006/relationships/header" Target="/word/header1.xml" Id="R67e212fedffb46ce" /><Relationship Type="http://schemas.openxmlformats.org/officeDocument/2006/relationships/settings" Target="/word/settings.xml" Id="Rc7d38c7c979b46d9" /><Relationship Type="http://schemas.openxmlformats.org/officeDocument/2006/relationships/styles" Target="/word/styles.xml" Id="Rb6f721912ecc4878" /><Relationship Type="http://schemas.openxmlformats.org/officeDocument/2006/relationships/hyperlink" Target="https://meteor.aihw.gov.au/RegistrationAuthority/4" TargetMode="External" Id="Ra8a038741b8948db" /><Relationship Type="http://schemas.openxmlformats.org/officeDocument/2006/relationships/hyperlink" Target="https://meteor.aihw.gov.au/content/466172" TargetMode="External" Id="Re846b784914b4b76" /><Relationship Type="http://schemas.openxmlformats.org/officeDocument/2006/relationships/hyperlink" Target="https://meteor.aihw.gov.au/RegistrationAuthority/4" TargetMode="External" Id="Rf84940a1a6214c04" /><Relationship Type="http://schemas.openxmlformats.org/officeDocument/2006/relationships/hyperlink" Target="https://meteor.aihw.gov.au/content/743931" TargetMode="External" Id="Rc0ed2c86963544fe" /><Relationship Type="http://schemas.openxmlformats.org/officeDocument/2006/relationships/hyperlink" Target="https://meteor.aihw.gov.au/RegistrationAuthority/4" TargetMode="External" Id="R64539c5103cc4467" /><Relationship Type="http://schemas.openxmlformats.org/officeDocument/2006/relationships/hyperlink" Target="https://meteor.aihw.gov.au/content/744068" TargetMode="External" Id="R18d2d5f726db4eb7" /><Relationship Type="http://schemas.openxmlformats.org/officeDocument/2006/relationships/hyperlink" Target="https://meteor.aihw.gov.au/RegistrationAuthority/4" TargetMode="External" Id="Re97b4537a1d04e44" /><Relationship Type="http://schemas.openxmlformats.org/officeDocument/2006/relationships/hyperlink" Target="https://meteor.aihw.gov.au/content/290046" TargetMode="External" Id="Rebb731b698434da3" /><Relationship Type="http://schemas.openxmlformats.org/officeDocument/2006/relationships/hyperlink" Target="https://meteor.aihw.gov.au/content/508301" TargetMode="External" Id="R7eea1ba601ab4333" /><Relationship Type="http://schemas.openxmlformats.org/officeDocument/2006/relationships/hyperlink" Target="https://meteor.aihw.gov.au/content/508125" TargetMode="External" Id="Rae8ff449aee04603" /><Relationship Type="http://schemas.openxmlformats.org/officeDocument/2006/relationships/hyperlink" Target="https://meteor.aihw.gov.au/content/537181" TargetMode="External" Id="Rc05e07e79d124d34" /><Relationship Type="http://schemas.openxmlformats.org/officeDocument/2006/relationships/hyperlink" Target="https://meteor.aihw.gov.au/content/537444" TargetMode="External" Id="Rf25ff8d1ee13445b" /><Relationship Type="http://schemas.openxmlformats.org/officeDocument/2006/relationships/numbering" Target="/word/numbering.xml" Id="R0a1e90d27c9a4d0f" /><Relationship Type="http://schemas.openxmlformats.org/officeDocument/2006/relationships/hyperlink" Target="https://meteor.aihw.gov.au/content/537444" TargetMode="External" Id="Rbeb9376ffedb49b1" /><Relationship Type="http://schemas.openxmlformats.org/officeDocument/2006/relationships/hyperlink" Target="https://meteor.aihw.gov.au/content/537181" TargetMode="External" Id="R2943aa03757f41af" /><Relationship Type="http://schemas.openxmlformats.org/officeDocument/2006/relationships/hyperlink" Target="https://meteor.aihw.gov.au/content/429889" TargetMode="External" Id="R3e38fc1e44c24c26" /><Relationship Type="http://schemas.openxmlformats.org/officeDocument/2006/relationships/hyperlink" Target="https://auspost.com.au/business/marketing-and-communications/access-data-and-insights/address-data/postcode-data" TargetMode="External" Id="Rd445faffd1904309" /><Relationship Type="http://schemas.openxmlformats.org/officeDocument/2006/relationships/hyperlink" Target="https://meteor.aihw.gov.au/content/429894" TargetMode="External" Id="R3716e18412184210" /><Relationship Type="http://schemas.openxmlformats.org/officeDocument/2006/relationships/hyperlink" Target="https://auspost.com.au/business/marketing-and-communications/access-data-and-insights/address-data/postcode-data" TargetMode="External" Id="Ra1dd6cfebd0c4abd" /><Relationship Type="http://schemas.openxmlformats.org/officeDocument/2006/relationships/hyperlink" Target="https://meteor.aihw.gov.au/content/720078" TargetMode="External" Id="R9bb14a8bf2324037" /><Relationship Type="http://schemas.openxmlformats.org/officeDocument/2006/relationships/hyperlink" Target="https://meteor.aihw.gov.au/content/453823" TargetMode="External" Id="Re8abf040495d42d6" /></Relationships>
</file>

<file path=word/_rels/header1.xml.rels>&#65279;<?xml version="1.0" encoding="utf-8"?><Relationships xmlns="http://schemas.openxmlformats.org/package/2006/relationships"><Relationship Type="http://schemas.openxmlformats.org/officeDocument/2006/relationships/image" Target="/media/image.png" Id="R697e867499fc4f5f" /></Relationships>
</file>