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75e0baeffd4fc9" /></Relationships>
</file>

<file path=word/document.xml><?xml version="1.0" encoding="utf-8"?>
<w:document xmlns:r="http://schemas.openxmlformats.org/officeDocument/2006/relationships" xmlns:w="http://schemas.openxmlformats.org/wordprocessingml/2006/main">
  <w:body>
    <w:p>
      <w:pPr>
        <w:pStyle w:val="Title"/>
      </w:pPr>
      <w:r>
        <w:t>Order—order end reason, youth justice order end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end reason, youth justice order end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end reason (youth justice)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cessation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c7389e5e7a4b3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legal order or arrangement that has resulted in a young person being supervised or case managed by a youth justice agency ended,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413da49f3b4e4f">
              <w:r>
                <w:rPr>
                  <w:rStyle w:val="Hyperlink"/>
                </w:rPr>
                <w:t xml:space="preserve">Order—order end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c5c7aa7ebe41b3">
              <w:r>
                <w:rPr>
                  <w:rStyle w:val="Hyperlink"/>
                </w:rPr>
                <w:t xml:space="preserve">Youth justice order end reason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Revoked or cancelled for re-offending or failure to comply with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Cancelled, quashed, varied on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Stayed pending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is used for ongoing orders that were not completed in the reporting period.</w:t>
            </w:r>
          </w:p>
          <w:p>
            <w:pPr>
              <w:spacing w:after="160"/>
            </w:pPr>
            <w:r>
              <w:rPr>
                <w:rStyle w:val="row-content-rich-text"/>
              </w:rPr>
              <w:t xml:space="preserve">CODE 1 is used to end a community or detention order when a young person has completed the hours and/or conditions of their order without it being revoked, overturned or ended due to an escape. This order end reason is considered to be used for the successful completion of an order.</w:t>
            </w:r>
          </w:p>
          <w:p>
            <w:pPr>
              <w:spacing w:after="160"/>
            </w:pPr>
            <w:r>
              <w:rPr>
                <w:rStyle w:val="row-content-rich-text"/>
              </w:rPr>
              <w:t xml:space="preserve">Community-based supervision order inclusions:</w:t>
            </w:r>
          </w:p>
          <w:p>
            <w:pPr>
              <w:pStyle w:val="ListParagraph"/>
              <w:numPr>
                <w:ilvl w:val="0"/>
                <w:numId w:val="2"/>
              </w:numPr>
            </w:pPr>
            <w:r>
              <w:rPr>
                <w:rStyle w:val="row-content-rich-text"/>
              </w:rPr>
              <w:t xml:space="preserve">when a young person finishes their community order early due to good behaviour</w:t>
            </w:r>
          </w:p>
          <w:p>
            <w:pPr>
              <w:pStyle w:val="ListParagraph"/>
              <w:numPr>
                <w:ilvl w:val="0"/>
                <w:numId w:val="2"/>
              </w:numPr>
            </w:pPr>
            <w:r>
              <w:rPr>
                <w:rStyle w:val="row-content-rich-text"/>
              </w:rPr>
              <w:t xml:space="preserve">when a young person completes bail due to sentencing</w:t>
            </w:r>
          </w:p>
          <w:p>
            <w:pPr>
              <w:pStyle w:val="ListParagraph"/>
              <w:numPr>
                <w:ilvl w:val="0"/>
                <w:numId w:val="2"/>
              </w:numPr>
            </w:pPr>
            <w:r>
              <w:rPr>
                <w:rStyle w:val="row-content-rich-text"/>
              </w:rPr>
              <w:t xml:space="preserve">when an order ends because it has expired</w:t>
            </w:r>
          </w:p>
          <w:p>
            <w:pPr>
              <w:spacing w:after="160"/>
            </w:pPr>
            <w:r>
              <w:rPr>
                <w:rStyle w:val="row-content-rich-text"/>
              </w:rPr>
              <w:t xml:space="preserve">Community-based supervision order exclusions:</w:t>
            </w:r>
          </w:p>
          <w:p>
            <w:pPr>
              <w:pStyle w:val="ListParagraph"/>
              <w:numPr>
                <w:ilvl w:val="0"/>
                <w:numId w:val="3"/>
              </w:numPr>
            </w:pPr>
            <w:r>
              <w:rPr>
                <w:rStyle w:val="row-content-rich-text"/>
              </w:rPr>
              <w:t xml:space="preserve">transfers to another jurisdiction</w:t>
            </w:r>
          </w:p>
          <w:p>
            <w:pPr>
              <w:pStyle w:val="ListParagraph"/>
              <w:numPr>
                <w:ilvl w:val="0"/>
                <w:numId w:val="3"/>
              </w:numPr>
            </w:pPr>
            <w:r>
              <w:rPr>
                <w:rStyle w:val="row-content-rich-text"/>
              </w:rPr>
              <w:t xml:space="preserve">transfers to adult community corrections/prison</w:t>
            </w:r>
          </w:p>
          <w:p>
            <w:pPr>
              <w:pStyle w:val="ListParagraph"/>
              <w:numPr>
                <w:ilvl w:val="0"/>
                <w:numId w:val="3"/>
              </w:numPr>
            </w:pPr>
            <w:r>
              <w:rPr>
                <w:rStyle w:val="row-content-rich-text"/>
              </w:rPr>
              <w:t xml:space="preserve">dismissed (use CODE 4)</w:t>
            </w:r>
          </w:p>
          <w:p>
            <w:pPr>
              <w:pStyle w:val="ListParagraph"/>
              <w:numPr>
                <w:ilvl w:val="0"/>
                <w:numId w:val="3"/>
              </w:numPr>
            </w:pPr>
            <w:r>
              <w:rPr>
                <w:rStyle w:val="row-content-rich-text"/>
              </w:rPr>
              <w:t xml:space="preserve">order expires without conditions (use CODE 88)</w:t>
            </w:r>
          </w:p>
          <w:p>
            <w:pPr>
              <w:spacing w:after="160"/>
            </w:pPr>
            <w:r>
              <w:rPr>
                <w:rStyle w:val="row-content-rich-text"/>
              </w:rPr>
              <w:t xml:space="preserve">The definition of orders ended due to an expiry can differ between jurisdictions. For orders that are successfully completed when they expire use CODE 1 (complete). For orders that expire where the young person has not completed conditions use CODE 88 (other reason).</w:t>
            </w:r>
          </w:p>
          <w:p>
            <w:pPr>
              <w:spacing w:after="160"/>
            </w:pPr>
            <w:r>
              <w:rPr>
                <w:rStyle w:val="row-content-rich-text"/>
              </w:rPr>
              <w:t xml:space="preserve">Detention order inclusions:</w:t>
            </w:r>
          </w:p>
          <w:p>
            <w:pPr>
              <w:pStyle w:val="ListParagraph"/>
              <w:numPr>
                <w:ilvl w:val="0"/>
                <w:numId w:val="4"/>
              </w:numPr>
            </w:pPr>
            <w:r>
              <w:rPr>
                <w:rStyle w:val="row-content-rich-text"/>
              </w:rPr>
              <w:t xml:space="preserve">when a young person finishes detention and goes into parole</w:t>
            </w:r>
          </w:p>
          <w:p>
            <w:pPr>
              <w:pStyle w:val="ListParagraph"/>
              <w:numPr>
                <w:ilvl w:val="0"/>
                <w:numId w:val="4"/>
              </w:numPr>
            </w:pPr>
            <w:r>
              <w:rPr>
                <w:rStyle w:val="row-content-rich-text"/>
              </w:rPr>
              <w:t xml:space="preserve">when a young person completes their remand at sentencing</w:t>
            </w:r>
          </w:p>
          <w:p>
            <w:pPr>
              <w:spacing w:after="160"/>
            </w:pPr>
            <w:r>
              <w:rPr>
                <w:rStyle w:val="row-content-rich-text"/>
              </w:rPr>
              <w:t xml:space="preserve">Detention order exclusions:</w:t>
            </w:r>
          </w:p>
          <w:p>
            <w:pPr>
              <w:pStyle w:val="ListParagraph"/>
              <w:numPr>
                <w:ilvl w:val="0"/>
                <w:numId w:val="5"/>
              </w:numPr>
            </w:pPr>
            <w:r>
              <w:rPr>
                <w:rStyle w:val="row-content-rich-text"/>
              </w:rPr>
              <w:t xml:space="preserve">transfers to another jurisdiction</w:t>
            </w:r>
          </w:p>
          <w:p>
            <w:pPr>
              <w:pStyle w:val="ListParagraph"/>
              <w:numPr>
                <w:ilvl w:val="0"/>
                <w:numId w:val="5"/>
              </w:numPr>
            </w:pPr>
            <w:r>
              <w:rPr>
                <w:rStyle w:val="row-content-rich-text"/>
              </w:rPr>
              <w:t xml:space="preserve">transfers to adult prison</w:t>
            </w:r>
          </w:p>
          <w:p>
            <w:pPr>
              <w:pStyle w:val="ListParagraph"/>
              <w:numPr>
                <w:ilvl w:val="0"/>
                <w:numId w:val="5"/>
              </w:numPr>
            </w:pPr>
            <w:r>
              <w:rPr>
                <w:rStyle w:val="row-content-rich-text"/>
              </w:rPr>
              <w:t xml:space="preserve">dismissed (use CODE 4)</w:t>
            </w:r>
          </w:p>
          <w:p>
            <w:pPr>
              <w:pStyle w:val="ListParagraph"/>
              <w:numPr>
                <w:ilvl w:val="0"/>
                <w:numId w:val="5"/>
              </w:numPr>
            </w:pPr>
            <w:r>
              <w:rPr>
                <w:rStyle w:val="row-content-rich-text"/>
              </w:rPr>
              <w:t xml:space="preserve">escapes</w:t>
            </w:r>
          </w:p>
          <w:p>
            <w:pPr>
              <w:spacing w:after="160"/>
            </w:pPr>
            <w:r>
              <w:rPr>
                <w:rStyle w:val="row-content-rich-text"/>
              </w:rPr>
              <w:t xml:space="preserve">CODE 2 is used for young people who breach an order or re-offend while on a community-based supervision order (sentenced or unsentenced). This end reason should not be used for a detention order.</w:t>
            </w:r>
          </w:p>
          <w:p>
            <w:pPr>
              <w:spacing w:after="160"/>
            </w:pPr>
            <w:r>
              <w:rPr>
                <w:rStyle w:val="row-content-rich-text"/>
              </w:rPr>
              <w:t xml:space="preserve">Inclusions:</w:t>
            </w:r>
          </w:p>
          <w:p>
            <w:pPr>
              <w:pStyle w:val="ListParagraph"/>
              <w:numPr>
                <w:ilvl w:val="0"/>
                <w:numId w:val="6"/>
              </w:numPr>
            </w:pPr>
            <w:r>
              <w:rPr>
                <w:rStyle w:val="row-content-rich-text"/>
              </w:rPr>
              <w:t xml:space="preserve">when a young person on bail breaches conditions or re-offends and is placed into remand to await their court outcome</w:t>
            </w:r>
          </w:p>
          <w:p>
            <w:pPr>
              <w:pStyle w:val="ListParagraph"/>
              <w:numPr>
                <w:ilvl w:val="0"/>
                <w:numId w:val="6"/>
              </w:numPr>
            </w:pPr>
            <w:r>
              <w:rPr>
                <w:rStyle w:val="row-content-rich-text"/>
              </w:rPr>
              <w:t xml:space="preserve">when a young person is on parole or suspended detention and breaches conditions or reoffends and is placed back into sentenced detention.</w:t>
            </w:r>
          </w:p>
          <w:p>
            <w:pPr>
              <w:spacing w:after="160"/>
            </w:pPr>
            <w:r>
              <w:rPr>
                <w:rStyle w:val="row-content-rich-text"/>
              </w:rPr>
              <w:t xml:space="preserve">Exclusions:</w:t>
            </w:r>
          </w:p>
          <w:p>
            <w:pPr>
              <w:pStyle w:val="ListParagraph"/>
              <w:numPr>
                <w:ilvl w:val="0"/>
                <w:numId w:val="7"/>
              </w:numPr>
            </w:pPr>
            <w:r>
              <w:rPr>
                <w:rStyle w:val="row-content-rich-text"/>
              </w:rPr>
              <w:t xml:space="preserve">when a young person is discharged and resentenced to adult corrections (use CODE 88).</w:t>
            </w:r>
          </w:p>
          <w:p>
            <w:pPr>
              <w:spacing w:after="160"/>
            </w:pPr>
            <w:r>
              <w:rPr>
                <w:rStyle w:val="row-content-rich-text"/>
              </w:rPr>
              <w:t xml:space="preserve">CODE 3 is used when an order is ended because the young person died.</w:t>
            </w:r>
          </w:p>
          <w:p>
            <w:pPr>
              <w:spacing w:after="160"/>
            </w:pPr>
            <w:r>
              <w:rPr>
                <w:rStyle w:val="row-content-rich-text"/>
              </w:rPr>
              <w:t xml:space="preserve">CODE 4 is used when an order (community-based or detention) is ended through a formal appeal or review process, whether it be overturned, discharged, cancelled, dismissed, varied, reduced (etc.).</w:t>
            </w:r>
          </w:p>
          <w:p>
            <w:pPr>
              <w:spacing w:after="160"/>
            </w:pPr>
            <w:r>
              <w:rPr>
                <w:rStyle w:val="row-content-rich-text"/>
              </w:rPr>
              <w:t xml:space="preserve">This code does not specify whether an order is overturned and a person is released and no longer guilty vs whether a person’s order is overturned with new conditions or reduced/extended.</w:t>
            </w:r>
          </w:p>
          <w:p>
            <w:pPr>
              <w:spacing w:after="160"/>
            </w:pPr>
            <w:r>
              <w:rPr>
                <w:rStyle w:val="row-content-rich-text"/>
              </w:rPr>
              <w:t xml:space="preserve">Inclusions:</w:t>
            </w:r>
          </w:p>
          <w:p>
            <w:pPr>
              <w:pStyle w:val="ListParagraph"/>
              <w:numPr>
                <w:ilvl w:val="0"/>
                <w:numId w:val="8"/>
              </w:numPr>
            </w:pPr>
            <w:r>
              <w:rPr>
                <w:rStyle w:val="row-content-rich-text"/>
              </w:rPr>
              <w:t xml:space="preserve">when a young person appeals their original sentence, which is then cancelled, dismissed, quashed or varied based on the outcome of the appeal.</w:t>
            </w:r>
          </w:p>
          <w:p>
            <w:pPr>
              <w:pStyle w:val="ListParagraph"/>
              <w:numPr>
                <w:ilvl w:val="0"/>
                <w:numId w:val="8"/>
              </w:numPr>
            </w:pPr>
            <w:r>
              <w:rPr>
                <w:rStyle w:val="row-content-rich-text"/>
              </w:rPr>
              <w:t xml:space="preserve">when a review process occurs and a young person’s original sentence is cancelled, dismissed, quashed or varied based on the outcome of the review.</w:t>
            </w:r>
          </w:p>
          <w:p>
            <w:pPr>
              <w:spacing w:after="160"/>
            </w:pPr>
            <w:r>
              <w:rPr>
                <w:rStyle w:val="row-content-rich-text"/>
              </w:rPr>
              <w:t xml:space="preserve">Exclusions:</w:t>
            </w:r>
          </w:p>
          <w:p>
            <w:pPr>
              <w:pStyle w:val="ListParagraph"/>
              <w:numPr>
                <w:ilvl w:val="0"/>
                <w:numId w:val="9"/>
              </w:numPr>
            </w:pPr>
            <w:r>
              <w:rPr>
                <w:rStyle w:val="row-content-rich-text"/>
              </w:rPr>
              <w:t xml:space="preserve">instances where an order is reduced for good behaviour without a formal appeal or review process.</w:t>
            </w:r>
          </w:p>
          <w:p>
            <w:pPr>
              <w:spacing w:after="160"/>
            </w:pPr>
            <w:r>
              <w:rPr>
                <w:rStyle w:val="row-content-rich-text"/>
              </w:rPr>
              <w:t xml:space="preserve">CODE 5 is used where a stayed appeal is pending at the end of the reporting period</w:t>
            </w:r>
          </w:p>
          <w:p>
            <w:pPr>
              <w:spacing w:after="160"/>
            </w:pPr>
            <w:r>
              <w:rPr>
                <w:rStyle w:val="row-content-rich-text"/>
              </w:rPr>
              <w:t xml:space="preserve">CODE 88 is used for all order end reasons (both detention and community-based supervision) that do not fit into the above categories.</w:t>
            </w:r>
          </w:p>
          <w:p>
            <w:pPr>
              <w:spacing w:after="160"/>
            </w:pPr>
            <w:r>
              <w:rPr>
                <w:rStyle w:val="row-content-rich-text"/>
              </w:rPr>
              <w:t xml:space="preserve">Inclusions: </w:t>
            </w:r>
          </w:p>
          <w:p>
            <w:pPr>
              <w:pStyle w:val="ListParagraph"/>
              <w:numPr>
                <w:ilvl w:val="0"/>
                <w:numId w:val="10"/>
              </w:numPr>
            </w:pPr>
            <w:r>
              <w:rPr>
                <w:rStyle w:val="row-content-rich-text"/>
              </w:rPr>
              <w:t xml:space="preserve">transferred to another jurisdiction or to adult prison</w:t>
            </w:r>
          </w:p>
          <w:p>
            <w:pPr>
              <w:pStyle w:val="ListParagraph"/>
              <w:numPr>
                <w:ilvl w:val="0"/>
                <w:numId w:val="10"/>
              </w:numPr>
            </w:pPr>
            <w:r>
              <w:rPr>
                <w:rStyle w:val="row-content-rich-text"/>
              </w:rPr>
              <w:t xml:space="preserve">expired orders (with incomplete conditions)</w:t>
            </w:r>
          </w:p>
          <w:p>
            <w:pPr>
              <w:pStyle w:val="ListParagraph"/>
              <w:numPr>
                <w:ilvl w:val="0"/>
                <w:numId w:val="10"/>
              </w:numPr>
            </w:pPr>
            <w:r>
              <w:rPr>
                <w:rStyle w:val="row-content-rich-text"/>
              </w:rPr>
              <w:t xml:space="preserve">hours not completed</w:t>
            </w:r>
          </w:p>
          <w:p>
            <w:pPr>
              <w:pStyle w:val="ListParagraph"/>
              <w:numPr>
                <w:ilvl w:val="0"/>
                <w:numId w:val="10"/>
              </w:numPr>
            </w:pPr>
            <w:r>
              <w:rPr>
                <w:rStyle w:val="row-content-rich-text"/>
              </w:rPr>
              <w:t xml:space="preserve">escaped remand or detention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6e4ac9768e4214">
              <w:r>
                <w:rPr>
                  <w:rStyle w:val="Hyperlink"/>
                </w:rPr>
                <w:t xml:space="preserve">Order—order end reason, juvenile justice code N[N]</w:t>
              </w:r>
            </w:hyperlink>
          </w:p>
          <w:p>
            <w:pPr>
              <w:spacing w:before="0" w:after="0"/>
            </w:pPr>
            <w:r>
              <w:rPr>
                <w:rStyle w:val="row-content"/>
                <w:color w:val="244061"/>
              </w:rPr>
              <w:t xml:space="preserve">       </w:t>
            </w:r>
            <w:hyperlink w:history="true" r:id="R699a856e82e946f2">
              <w:r>
                <w:rPr>
                  <w:rStyle w:val="Hyperlink"/>
                  <w:color w:val="244061"/>
                </w:rPr>
                <w:t xml:space="preserve">Youth Justice</w:t>
              </w:r>
            </w:hyperlink>
            <w:r>
              <w:rPr>
                <w:rStyle w:val="row-content"/>
                <w:color w:val="244061"/>
              </w:rPr>
              <w:t xml:space="preserve">, Superseded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a8f16a445e4adf">
              <w:r>
                <w:rPr>
                  <w:rStyle w:val="Hyperlink"/>
                </w:rPr>
                <w:t xml:space="preserve">Juvenile Justice Order file cluster</w:t>
              </w:r>
            </w:hyperlink>
          </w:p>
          <w:p>
            <w:pPr>
              <w:spacing w:before="0" w:after="0"/>
            </w:pPr>
            <w:r>
              <w:rPr>
                <w:rStyle w:val="row-content"/>
                <w:color w:val="244061"/>
              </w:rPr>
              <w:t xml:space="preserve">       </w:t>
            </w:r>
            <w:hyperlink w:history="true" r:id="R106a88c0635c4c5e">
              <w:r>
                <w:rPr>
                  <w:rStyle w:val="Hyperlink"/>
                  <w:color w:val="244061"/>
                </w:rPr>
                <w:t xml:space="preserve">Youth Justice</w:t>
              </w:r>
            </w:hyperlink>
            <w:r>
              <w:rPr>
                <w:rStyle w:val="row-content"/>
                <w:color w:val="244061"/>
              </w:rPr>
              <w:t xml:space="preserve">, Superseded 23/08/2022</w:t>
            </w:r>
          </w:p>
          <w:p>
            <w:r>
              <w:br/>
            </w:r>
            <w:hyperlink w:history="true" r:id="R25b9bff44b9c4302">
              <w:r>
                <w:rPr>
                  <w:rStyle w:val="Hyperlink"/>
                </w:rPr>
                <w:t xml:space="preserve">Youth Justice Order file cluster</w:t>
              </w:r>
            </w:hyperlink>
          </w:p>
          <w:p>
            <w:pPr>
              <w:spacing w:before="0" w:after="0"/>
            </w:pPr>
            <w:r>
              <w:rPr>
                <w:rStyle w:val="row-content"/>
                <w:color w:val="244061"/>
              </w:rPr>
              <w:t xml:space="preserve">       </w:t>
            </w:r>
            <w:hyperlink w:history="true" r:id="Rfe7a84ba3955403f">
              <w:r>
                <w:rPr>
                  <w:rStyle w:val="Hyperlink"/>
                  <w:color w:val="244061"/>
                </w:rPr>
                <w:t xml:space="preserve">Youth Justice</w:t>
              </w:r>
            </w:hyperlink>
            <w:r>
              <w:rPr>
                <w:rStyle w:val="row-content"/>
                <w:color w:val="244061"/>
              </w:rPr>
              <w:t xml:space="preserve">, Standard 15/02/2022</w:t>
            </w:r>
          </w:p>
          <w:p>
            <w:r>
              <w:br/>
            </w:r>
            <w:hyperlink w:history="true" r:id="R8adb72086ed8498a">
              <w:r>
                <w:rPr>
                  <w:rStyle w:val="Hyperlink"/>
                </w:rPr>
                <w:t xml:space="preserve">Youth Justice Order file cluster</w:t>
              </w:r>
            </w:hyperlink>
          </w:p>
          <w:p>
            <w:pPr>
              <w:spacing w:before="0" w:after="0"/>
            </w:pPr>
            <w:r>
              <w:rPr>
                <w:rStyle w:val="row-content"/>
                <w:color w:val="244061"/>
              </w:rPr>
              <w:t xml:space="preserve">       </w:t>
            </w:r>
            <w:hyperlink w:history="true" r:id="Rf78cd1222d3246a3">
              <w:r>
                <w:rPr>
                  <w:rStyle w:val="Hyperlink"/>
                  <w:color w:val="244061"/>
                </w:rPr>
                <w:t xml:space="preserve">Youth Justice</w:t>
              </w:r>
            </w:hyperlink>
            <w:r>
              <w:rPr>
                <w:rStyle w:val="row-content"/>
                <w:color w:val="244061"/>
              </w:rPr>
              <w:t xml:space="preserve">, Superseded 23/08/2022</w:t>
            </w:r>
          </w:p>
          <w:p>
            <w:r>
              <w:br/>
            </w:r>
          </w:p>
        </w:tc>
      </w:tr>
    </w:tbl>
    <w:p/>
    <w:tbl>
      <w:tblPr>
        <w:tblStyle w:val="TableGrid"/>
        <w:tblW w:w="0" w:type="auto"/>
      </w:tblPr>
    </w:tbl>
    <w:p>
      <w:r>
        <w:br/>
      </w:r>
    </w:p>
    <w:sectPr>
      <w:footerReference xmlns:r="http://schemas.openxmlformats.org/officeDocument/2006/relationships" w:type="default" r:id="R809d0ab2f50b45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743998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f8163e010e4f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9d0ab2f50b4525" /><Relationship Type="http://schemas.openxmlformats.org/officeDocument/2006/relationships/header" Target="/word/header1.xml" Id="Red26529334214bbc" /><Relationship Type="http://schemas.openxmlformats.org/officeDocument/2006/relationships/settings" Target="/word/settings.xml" Id="Red1ecc1ec3154b2b" /><Relationship Type="http://schemas.openxmlformats.org/officeDocument/2006/relationships/styles" Target="/word/styles.xml" Id="R8ccc638779a94e2e" /><Relationship Type="http://schemas.openxmlformats.org/officeDocument/2006/relationships/hyperlink" Target="https://meteor.aihw.gov.au/RegistrationAuthority/4" TargetMode="External" Id="Recc7389e5e7a4b3d" /><Relationship Type="http://schemas.openxmlformats.org/officeDocument/2006/relationships/hyperlink" Target="https://meteor.aihw.gov.au/content/536565" TargetMode="External" Id="Rb1413da49f3b4e4f" /><Relationship Type="http://schemas.openxmlformats.org/officeDocument/2006/relationships/hyperlink" Target="https://meteor.aihw.gov.au/content/743946" TargetMode="External" Id="R0ec5c7aa7ebe41b3" /><Relationship Type="http://schemas.openxmlformats.org/officeDocument/2006/relationships/numbering" Target="/word/numbering.xml" Id="R8f87f4fcc1bf4986" /><Relationship Type="http://schemas.openxmlformats.org/officeDocument/2006/relationships/hyperlink" Target="https://meteor.aihw.gov.au/content/536567" TargetMode="External" Id="R1b6e4ac9768e4214" /><Relationship Type="http://schemas.openxmlformats.org/officeDocument/2006/relationships/hyperlink" Target="https://meteor.aihw.gov.au/RegistrationAuthority/4" TargetMode="External" Id="R699a856e82e946f2" /><Relationship Type="http://schemas.openxmlformats.org/officeDocument/2006/relationships/hyperlink" Target="https://meteor.aihw.gov.au/content/680151" TargetMode="External" Id="Rfea8f16a445e4adf" /><Relationship Type="http://schemas.openxmlformats.org/officeDocument/2006/relationships/hyperlink" Target="https://meteor.aihw.gov.au/RegistrationAuthority/4" TargetMode="External" Id="R106a88c0635c4c5e" /><Relationship Type="http://schemas.openxmlformats.org/officeDocument/2006/relationships/hyperlink" Target="https://meteor.aihw.gov.au/content/743903" TargetMode="External" Id="R25b9bff44b9c4302" /><Relationship Type="http://schemas.openxmlformats.org/officeDocument/2006/relationships/hyperlink" Target="https://meteor.aihw.gov.au/RegistrationAuthority/4" TargetMode="External" Id="Rfe7a84ba3955403f" /><Relationship Type="http://schemas.openxmlformats.org/officeDocument/2006/relationships/hyperlink" Target="https://meteor.aihw.gov.au/content/758060" TargetMode="External" Id="R8adb72086ed8498a" /><Relationship Type="http://schemas.openxmlformats.org/officeDocument/2006/relationships/hyperlink" Target="https://meteor.aihw.gov.au/RegistrationAuthority/4" TargetMode="External" Id="Rf78cd1222d3246a3" /></Relationships>
</file>

<file path=word/_rels/header1.xml.rels>&#65279;<?xml version="1.0" encoding="utf-8"?><Relationships xmlns="http://schemas.openxmlformats.org/package/2006/relationships"><Relationship Type="http://schemas.openxmlformats.org/officeDocument/2006/relationships/image" Target="/media/image.png" Id="Rc3f8163e010e4fe6" /></Relationships>
</file>