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a84d129fca4ee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dc5272d5543a8">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c170bf3b9d84f9e">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9b7b7676999c43bd">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8637e5259914025">
              <w:r>
                <w:rPr>
                  <w:rStyle w:val="Hyperlink"/>
                </w:rPr>
                <w:t xml:space="preserve">www.aihw.gov.au/about-us</w:t>
              </w:r>
            </w:hyperlink>
            <w:r>
              <w:rPr>
                <w:rStyle w:val="row-content-rich-text"/>
              </w:rPr>
              <w:t xml:space="preserve">, which includes details about the AIHW’s governance (</w:t>
            </w:r>
            <w:hyperlink w:history="true" r:id="R93caf6010b124e70">
              <w:r>
                <w:rPr>
                  <w:rStyle w:val="Hyperlink"/>
                </w:rPr>
                <w:t xml:space="preserve">www.aihw.gov.au/about-us/our-governance</w:t>
              </w:r>
            </w:hyperlink>
            <w:r>
              <w:rPr>
                <w:rStyle w:val="row-content-rich-text"/>
              </w:rPr>
              <w:t xml:space="preserve">) and vision and strategic goals (</w:t>
            </w:r>
            <w:hyperlink w:history="true" r:id="R1bc4ca56c7514fc9">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2019 period, the census date was 31 December 2019 and covered, depending on the indicator, either:</w:t>
            </w:r>
          </w:p>
          <w:p>
            <w:pPr>
              <w:pStyle w:val="ListParagraph"/>
              <w:numPr>
                <w:ilvl w:val="0"/>
                <w:numId w:val="3"/>
              </w:numPr>
            </w:pPr>
            <w:r>
              <w:rPr>
                <w:rStyle w:val="row-content-rich-text"/>
              </w:rPr>
              <w:t xml:space="preserve">6 months up to the census date, that is, from 1 July 2019 to 31 December 2019, or</w:t>
            </w:r>
          </w:p>
          <w:p>
            <w:pPr>
              <w:pStyle w:val="ListParagraph"/>
              <w:numPr>
                <w:ilvl w:val="0"/>
                <w:numId w:val="3"/>
              </w:numPr>
            </w:pPr>
            <w:r>
              <w:rPr>
                <w:rStyle w:val="row-content-rich-text"/>
              </w:rPr>
              <w:t xml:space="preserve">12 months up to the census date, that is, from 1 January 2019 to 31 December 2019, or</w:t>
            </w:r>
          </w:p>
          <w:p>
            <w:pPr>
              <w:pStyle w:val="ListParagraph"/>
              <w:numPr>
                <w:ilvl w:val="0"/>
                <w:numId w:val="3"/>
              </w:numPr>
            </w:pPr>
            <w:r>
              <w:rPr>
                <w:rStyle w:val="row-content-rich-text"/>
              </w:rPr>
              <w:t xml:space="preserve">24 months up to the census date, that is, from 1 January 2018 to 31 December 2019,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December 2019 collection, data submission started 1 January and data were finalised 31 March 2020.</w:t>
            </w:r>
          </w:p>
          <w:p>
            <w:pPr>
              <w:spacing w:after="160"/>
            </w:pPr>
            <w:r>
              <w:rPr>
                <w:rStyle w:val="row-content-rich-text"/>
              </w:rPr>
              <w:t xml:space="preserve">Data from the national reporting dataset were released to submitting organisations (via organisation specific reports) 27 May 2020.</w:t>
            </w:r>
          </w:p>
          <w:p>
            <w:pPr/>
            <w:r>
              <w:rPr>
                <w:rStyle w:val="row-content-rich-text"/>
              </w:rPr>
              <w:t xml:space="preserve">Data from the national reporting dataset were released via the AIHW website 17 September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2019 are published in </w:t>
            </w:r>
            <w:hyperlink w:history="true" r:id="R6857e23596ac4079">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1b09d84035414e7b">
              <w:r>
                <w:rPr>
                  <w:rStyle w:val="Hyperlink"/>
                </w:rPr>
                <w:t xml:space="preserve">dataquality@aihw.gov.au</w:t>
              </w:r>
            </w:hyperlink>
            <w:r>
              <w:rPr>
                <w:rStyle w:val="row-content-rich-text"/>
              </w:rPr>
              <w:t xml:space="preserve"> or via the </w:t>
            </w:r>
            <w:hyperlink w:history="true" r:id="Re0f9a700adf84c35">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b6f5585f7f164c39">
              <w:r>
                <w:rPr>
                  <w:rStyle w:val="Hyperlink"/>
                </w:rPr>
                <w:t xml:space="preserve">indicator set</w:t>
              </w:r>
            </w:hyperlink>
            <w:r>
              <w:rPr>
                <w:rStyle w:val="row-content-rich-text"/>
              </w:rPr>
              <w:t xml:space="preserve"> and </w:t>
            </w:r>
            <w:hyperlink w:history="true" r:id="R178c9348448b43a0">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19ed68c732544f72">
              <w:r>
                <w:rPr>
                  <w:rStyle w:val="Hyperlink"/>
                </w:rPr>
                <w:t xml:space="preserve">Technical appendix</w:t>
              </w:r>
            </w:hyperlink>
            <w:r>
              <w:rPr>
                <w:rStyle w:val="row-content-rich-text"/>
              </w:rPr>
              <w:t xml:space="preserve"> and </w:t>
            </w:r>
            <w:hyperlink w:history="true" r:id="R7c8dcddbd98e4a97">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December 2019 collection included 24 MCH organisations. Overall, these organisations provided valid data for PI01, PI02, PI03 (child and adult), PI04, PI11 and PI13, although not all organisations provided valid data for each indicator. Twenty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December 2019 collection is 31 December 2019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December 2019, 98.3% (237)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December 2019 collection, the AIHW returned data to 30 out of the 237 organisations who reported that period. Where unresolved data quality issues are identified, the AIHW excludes these data from the national reporting dataset. For the December 2019 collection, none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December 2019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642f8c3e1e4143e7">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df9ce7590dd34341">
              <w:r>
                <w:rPr>
                  <w:rStyle w:val="Hyperlink"/>
                </w:rPr>
                <w:t xml:space="preserve">Indigenous primary health care key performance indicators (December 2017)</w:t>
              </w:r>
            </w:hyperlink>
            <w:hyperlink w:history="true" r:id="R05378bc18bb7488a">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onwards are comparable. Data quality issues affected the comparability of indicators PI18—Kidney function test recorded and PI19—Kidney function tests in June 2017 to June 2019. For more details see the </w:t>
            </w:r>
            <w:hyperlink w:history="true" r:id="R2681738efedc4176">
              <w:r>
                <w:rPr>
                  <w:rStyle w:val="Hyperlink"/>
                </w:rPr>
                <w:t xml:space="preserve">Indigenous primary health care key performance indicators (June 2019)</w:t>
              </w:r>
            </w:hyperlink>
            <w:r>
              <w:rPr>
                <w:rStyle w:val="row-content-rich-text"/>
              </w:rPr>
              <w:t xml:space="preserve"> DQS.</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From the December 2018 collection onwards organisations submitted data via the HDP. For more information see the </w:t>
            </w:r>
            <w:hyperlink w:history="true" r:id="R9e37212870ea4a62">
              <w:r>
                <w:rPr>
                  <w:rStyle w:val="Hyperlink"/>
                </w:rPr>
                <w:t xml:space="preserve">Indigenous primary health care key performance indicators (December 2018)</w:t>
              </w:r>
            </w:hyperlink>
            <w:r>
              <w:rPr>
                <w:rStyle w:val="row-content-rich-text"/>
              </w:rPr>
              <w:t xml:space="preserve"> DQS.</w:t>
            </w:r>
          </w:p>
          <w:p>
            <w:pPr>
              <w:pStyle w:val="ListParagraph"/>
              <w:numPr>
                <w:ilvl w:val="0"/>
                <w:numId w:val="6"/>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a3d5c6dbf2d740d1">
              <w:r>
                <w:rPr>
                  <w:rStyle w:val="Hyperlink"/>
                </w:rPr>
                <w:t xml:space="preserve">Indigenous primary health care key performance indicators (June 2019)</w:t>
              </w:r>
            </w:hyperlink>
            <w:r>
              <w:rPr>
                <w:rStyle w:val="row-content-rich-text"/>
              </w:rPr>
              <w:t xml:space="preserve"> DQS.</w:t>
            </w:r>
          </w:p>
          <w:p>
            <w:pPr>
              <w:pStyle w:val="ListParagraph"/>
              <w:numPr>
                <w:ilvl w:val="0"/>
                <w:numId w:val="6"/>
              </w:numPr>
            </w:pPr>
            <w:r>
              <w:rPr>
                <w:rStyle w:val="row-content-rich-text"/>
              </w:rPr>
              <w:t xml:space="preserve">It was found that CVD risk calculators embedded in some CISs do not capture all the data needed to apply the full NVDPA risk assessment algorithm. Data from organisations using CISs that do not capture all the necessary data may underestimate the number of clients at high CVD risk. Therefore data for PI21 for all affected organisations were excluded from AIHW national reporting in December 2019 and retrospectively in all previous periods.</w:t>
            </w:r>
          </w:p>
          <w:p>
            <w:pPr>
              <w:pStyle w:val="ListParagraph"/>
              <w:numPr>
                <w:ilvl w:val="0"/>
                <w:numId w:val="6"/>
              </w:numPr>
            </w:pPr>
            <w:r>
              <w:rPr>
                <w:rStyle w:val="row-content-rich-text"/>
              </w:rPr>
              <w:t xml:space="preserve">AIHW were advised that data from 1 CIS had issues for PI09, PI10, PI11, PI16 and PI17 prior to December 2019. These submitted data had values drawn from all available time periods rather than the last 24 months. Therefore data for the affected indicators prior to December 2019 were excluded from AIHW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f3900a60e43b0">
              <w:r>
                <w:rPr>
                  <w:rStyle w:val="Hyperlink"/>
                </w:rPr>
                <w:t xml:space="preserve">Indigenous primary health care key performance indicators (June 2019)</w:t>
              </w:r>
            </w:hyperlink>
          </w:p>
          <w:p>
            <w:pPr>
              <w:pStyle w:val="registration-status"/>
              <w:spacing w:before="0" w:after="0"/>
            </w:pPr>
            <w:hyperlink w:history="true" r:id="Ra4c46e5ba3574b81">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2a1f30f666bd484c">
              <w:r>
                <w:rPr>
                  <w:rStyle w:val="Hyperlink"/>
                </w:rPr>
                <w:t xml:space="preserve">Indigenous primary health care key performance indicators (June 2020)</w:t>
              </w:r>
            </w:hyperlink>
          </w:p>
          <w:p>
            <w:pPr>
              <w:pStyle w:val="registration-status"/>
              <w:spacing w:before="0" w:after="0"/>
            </w:pPr>
            <w:hyperlink w:history="true" r:id="Rdcf1fc5421214282">
              <w:r>
                <w:rPr>
                  <w:rStyle w:val="Hyperlink"/>
                  <w:color w:val="244061"/>
                </w:rPr>
                <w:t xml:space="preserve">AIHW Data Quality Statements</w:t>
              </w:r>
            </w:hyperlink>
            <w:r>
              <w:rPr>
                <w:rStyle w:val="row-content"/>
                <w:color w:val="244061"/>
              </w:rPr>
              <w:t xml:space="preserve">, Superseded 27/09/2021</w:t>
            </w:r>
          </w:p>
          <w:p>
            <w:r>
              <w:br/>
            </w:r>
          </w:p>
        </w:tc>
      </w:tr>
    </w:tbl>
    <w:p>
      <w:r>
        <w:br/>
      </w:r>
    </w:p>
    <w:sectPr>
      <w:footerReference xmlns:r="http://schemas.openxmlformats.org/officeDocument/2006/relationships" w:type="default" r:id="Rf1980a4a5b38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743402</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6c360d6ac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80a4a5b384c30" /><Relationship Type="http://schemas.openxmlformats.org/officeDocument/2006/relationships/header" Target="/word/header1.xml" Id="R72c0c9b3c8b343eb" /><Relationship Type="http://schemas.openxmlformats.org/officeDocument/2006/relationships/settings" Target="/word/settings.xml" Id="Rc0064f5dd059476f" /><Relationship Type="http://schemas.openxmlformats.org/officeDocument/2006/relationships/styles" Target="/word/styles.xml" Id="Rb40f0f1596a54fef" /><Relationship Type="http://schemas.openxmlformats.org/officeDocument/2006/relationships/numbering" Target="/word/numbering.xml" Id="R1f0f83551bab4ce2" /><Relationship Type="http://schemas.openxmlformats.org/officeDocument/2006/relationships/hyperlink" Target="https://meteor.aihw.gov.au/RegistrationAuthority/5" TargetMode="External" Id="R6c6dc5272d5543a8" /><Relationship Type="http://schemas.openxmlformats.org/officeDocument/2006/relationships/hyperlink" Target="http://www.comlaw.gov.au/Series/C2004A03450" TargetMode="External" Id="Rbc170bf3b9d84f9e" /><Relationship Type="http://schemas.openxmlformats.org/officeDocument/2006/relationships/hyperlink" Target="http://www.comlaw.gov.au/Details/C2011C00503" TargetMode="External" Id="R9b7b7676999c43bd" /><Relationship Type="http://schemas.openxmlformats.org/officeDocument/2006/relationships/hyperlink" Target="https://meteor.aihw.gov.au/www.aihw.gov.au/about-us" TargetMode="External" Id="Rd8637e5259914025" /><Relationship Type="http://schemas.openxmlformats.org/officeDocument/2006/relationships/hyperlink" Target="https://meteor.aihw.gov.au/www.aihw.gov.au/about-us/our-governance" TargetMode="External" Id="R93caf6010b124e70" /><Relationship Type="http://schemas.openxmlformats.org/officeDocument/2006/relationships/hyperlink" Target="https://meteor.aihw.gov.au/www.aihw.gov.au/about-us/our-vision-and-strategic-goals" TargetMode="External" Id="R1bc4ca56c7514fc9" /><Relationship Type="http://schemas.openxmlformats.org/officeDocument/2006/relationships/hyperlink" Target="https://www.aihw.gov.au/reports/indigenous-australians/indigenous-primary-health-care-results-osr-nkpi/overview/summary" TargetMode="External" Id="R6857e23596ac4079" /><Relationship Type="http://schemas.openxmlformats.org/officeDocument/2006/relationships/hyperlink" Target="mailto:dataquality@aihw.gov.au" TargetMode="External" Id="R1b09d84035414e7b" /><Relationship Type="http://schemas.openxmlformats.org/officeDocument/2006/relationships/hyperlink" Target="https://www.aihw.gov.au/our-services/data-on-request" TargetMode="External" Id="Re0f9a700adf84c35" /><Relationship Type="http://schemas.openxmlformats.org/officeDocument/2006/relationships/hyperlink" Target="https://meteor.aihw.gov.au/content/687913" TargetMode="External" Id="Rb6f5585f7f164c39" /><Relationship Type="http://schemas.openxmlformats.org/officeDocument/2006/relationships/hyperlink" Target="https://meteor.aihw.gov.au/content/707502" TargetMode="External" Id="R178c9348448b43a0" /><Relationship Type="http://schemas.openxmlformats.org/officeDocument/2006/relationships/hyperlink" Target="https://www.aihw.gov.au/reports/indigenous-australians/indigenous-primary-health-care-results-osr-nkpi/technical-appendix/technical-notes" TargetMode="External" Id="R19ed68c732544f72" /><Relationship Type="http://schemas.openxmlformats.org/officeDocument/2006/relationships/hyperlink" Target="https://www.aihw.gov.au/reports/indigenous-australians/indigenous-primary-health-care-results-osr-nkpi/data" TargetMode="External" Id="R7c8dcddbd98e4a97" /><Relationship Type="http://schemas.openxmlformats.org/officeDocument/2006/relationships/hyperlink" Target="https://meteor.aihw.gov.au/content/672769" TargetMode="External" Id="R642f8c3e1e4143e7" /><Relationship Type="http://schemas.openxmlformats.org/officeDocument/2006/relationships/hyperlink" Target="https://meteor.aihw.gov.au/content/706629" TargetMode="External" Id="Rdf9ce7590dd34341" /><Relationship Type="http://schemas.openxmlformats.org/officeDocument/2006/relationships/hyperlink" Target="https://meteor.aihw.gov.au/content/672769" TargetMode="External" Id="R05378bc18bb7488a" /><Relationship Type="http://schemas.openxmlformats.org/officeDocument/2006/relationships/hyperlink" Target="https://meteor.aihw.gov.au/content/743387" TargetMode="External" Id="R2681738efedc4176" /><Relationship Type="http://schemas.openxmlformats.org/officeDocument/2006/relationships/hyperlink" Target="https://meteor.aihw.gov.au/content/743252" TargetMode="External" Id="R9e37212870ea4a62" /><Relationship Type="http://schemas.openxmlformats.org/officeDocument/2006/relationships/hyperlink" Target="https://meteor.aihw.gov.au/content/743387" TargetMode="External" Id="Ra3d5c6dbf2d740d1" /><Relationship Type="http://schemas.openxmlformats.org/officeDocument/2006/relationships/hyperlink" Target="https://meteor.aihw.gov.au/content/743387" TargetMode="External" Id="R5edf3900a60e43b0" /><Relationship Type="http://schemas.openxmlformats.org/officeDocument/2006/relationships/hyperlink" Target="https://meteor.aihw.gov.au/RegistrationAuthority/5" TargetMode="External" Id="Ra4c46e5ba3574b81" /><Relationship Type="http://schemas.openxmlformats.org/officeDocument/2006/relationships/hyperlink" Target="https://meteor.aihw.gov.au/content/743433" TargetMode="External" Id="R2a1f30f666bd484c" /><Relationship Type="http://schemas.openxmlformats.org/officeDocument/2006/relationships/hyperlink" Target="https://meteor.aihw.gov.au/RegistrationAuthority/5" TargetMode="External" Id="Rdcf1fc5421214282" /></Relationships>
</file>

<file path=word/_rels/header1.xml.rels>&#65279;<?xml version="1.0" encoding="utf-8"?><Relationships xmlns="http://schemas.openxmlformats.org/package/2006/relationships"><Relationship Type="http://schemas.openxmlformats.org/officeDocument/2006/relationships/image" Target="/media/image.png" Id="Rf9c6c360d6ac460d" /></Relationships>
</file>