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ba59347fd6428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care—service related group, code (based on AR-DRG version 7.0)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care—service related group, code (based on AR-DRG version 7.0)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78968db98f45b5">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categorises admitted patient episodes into groups representing clinical divisions of hospital activity, based on aggregations of AR-DRG version 7.0,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5ad4ea91b84480">
              <w:r>
                <w:rPr>
                  <w:rStyle w:val="Hyperlink"/>
                </w:rPr>
                <w:t xml:space="preserve">Episode of admitted patient care—service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60366078814dec">
              <w:r>
                <w:rPr>
                  <w:rStyle w:val="Hyperlink"/>
                </w:rPr>
                <w:t xml:space="preserve">Service Related Group (based on AR-DRG version 7.0)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6f3b698ac70403c">
              <w:r>
                <w:rPr>
                  <w:rStyle w:val="Hyperlink"/>
                </w:rPr>
                <w:t xml:space="preserve">Service Related Group (based on AR-DRG version 7.0)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926355cb7f4cdc">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7803eb4986f94df4">
              <w:r>
                <w:rPr>
                  <w:rStyle w:val="Hyperlink"/>
                  <w:color w:val="244061"/>
                </w:rPr>
                <w:t xml:space="preserve">Tasmanian Health</w:t>
              </w:r>
            </w:hyperlink>
            <w:r>
              <w:rPr>
                <w:rStyle w:val="row-content"/>
                <w:color w:val="244061"/>
              </w:rPr>
              <w:t xml:space="preserve">, Superseded 10/11/2023</w:t>
            </w:r>
          </w:p>
          <w:p>
            <w:r>
              <w:br/>
            </w:r>
            <w:hyperlink w:history="true" r:id="Rf218d9796f774f88">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97f5881dd6624233">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ee4b95bcd8a246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743358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c649d882c948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b95bcd8a2469c" /><Relationship Type="http://schemas.openxmlformats.org/officeDocument/2006/relationships/header" Target="/word/header1.xml" Id="Rcc8fd0de116041bc" /><Relationship Type="http://schemas.openxmlformats.org/officeDocument/2006/relationships/settings" Target="/word/settings.xml" Id="Rd1acc2733fc34bbc" /><Relationship Type="http://schemas.openxmlformats.org/officeDocument/2006/relationships/styles" Target="/word/styles.xml" Id="Rb2b62120f9e34187" /><Relationship Type="http://schemas.openxmlformats.org/officeDocument/2006/relationships/hyperlink" Target="https://meteor.aihw.gov.au/RegistrationAuthority/15" TargetMode="External" Id="R3a78968db98f45b5" /><Relationship Type="http://schemas.openxmlformats.org/officeDocument/2006/relationships/hyperlink" Target="https://meteor.aihw.gov.au/content/743354" TargetMode="External" Id="Rcf5ad4ea91b84480" /><Relationship Type="http://schemas.openxmlformats.org/officeDocument/2006/relationships/hyperlink" Target="https://meteor.aihw.gov.au/content/743356" TargetMode="External" Id="R9160366078814dec" /><Relationship Type="http://schemas.openxmlformats.org/officeDocument/2006/relationships/hyperlink" Target="https://meteor.aihw.gov.au/content/743348" TargetMode="External" Id="R66f3b698ac70403c" /><Relationship Type="http://schemas.openxmlformats.org/officeDocument/2006/relationships/hyperlink" Target="https://meteor.aihw.gov.au/content/743914" TargetMode="External" Id="Rcf926355cb7f4cdc" /><Relationship Type="http://schemas.openxmlformats.org/officeDocument/2006/relationships/hyperlink" Target="https://meteor.aihw.gov.au/RegistrationAuthority/15" TargetMode="External" Id="R7803eb4986f94df4" /><Relationship Type="http://schemas.openxmlformats.org/officeDocument/2006/relationships/hyperlink" Target="https://meteor.aihw.gov.au/content/785707" TargetMode="External" Id="Rf218d9796f774f88" /><Relationship Type="http://schemas.openxmlformats.org/officeDocument/2006/relationships/hyperlink" Target="https://meteor.aihw.gov.au/RegistrationAuthority/15" TargetMode="External" Id="R97f5881dd6624233" /></Relationships>
</file>

<file path=word/_rels/header1.xml.rels>&#65279;<?xml version="1.0" encoding="utf-8"?><Relationships xmlns="http://schemas.openxmlformats.org/package/2006/relationships"><Relationship Type="http://schemas.openxmlformats.org/officeDocument/2006/relationships/image" Target="/media/image.png" Id="Rc4c649d882c94855" /></Relationships>
</file>