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2a9c758a304f47"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2019–20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2019–20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4a98015764d01">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contains information on:</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2"/>
              </w:numPr>
            </w:pPr>
            <w:r>
              <w:rPr>
                <w:rStyle w:val="row-content-rich-text"/>
              </w:rPr>
              <w:t xml:space="preserve">Unit record level data were not available for New South Wales in </w:t>
            </w:r>
            <w:r>
              <w:rPr>
                <w:rStyle w:val="row-content-rich-text"/>
                <w:i/>
              </w:rPr>
              <w:t xml:space="preserve">2019–20</w:t>
            </w:r>
            <w:r>
              <w:rPr>
                <w:rStyle w:val="row-content-rich-text"/>
              </w:rPr>
              <w:t xml:space="preserve">;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affect the interpretability of some data which are outlined below and in </w:t>
            </w:r>
            <w:r>
              <w:rPr>
                <w:rStyle w:val="row-content-rich-text"/>
                <w:i/>
              </w:rPr>
              <w:t xml:space="preserve">Child protection Australia 2019–20</w:t>
            </w:r>
            <w:r>
              <w:rPr>
                <w:rStyle w:val="row-content-rich-text"/>
              </w:rPr>
              <w:t xml:space="preserve">.</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appendixes B–E (online) of </w:t>
            </w:r>
            <w:r>
              <w:rPr>
                <w:rStyle w:val="row-content-rich-text"/>
                <w:i/>
              </w:rPr>
              <w:t xml:space="preserve">Child protection Australia</w:t>
            </w:r>
            <w:r>
              <w:rPr>
                <w:rStyle w:val="row-content-rich-text"/>
                <w:i/>
              </w:rPr>
              <w:t xml:space="preserve">2019–20</w:t>
            </w:r>
            <w:r>
              <w:rPr>
                <w:rStyle w:val="row-content-rich-text"/>
              </w:rPr>
              <w:t xml:space="preserve">).</w:t>
            </w:r>
          </w:p>
          <w:p>
            <w:pPr>
              <w:spacing w:after="160"/>
            </w:pPr>
            <w:r>
              <w:rPr>
                <w:rStyle w:val="row-content-rich-text"/>
                <w:b/>
              </w:rPr>
              <w:t xml:space="preserve">Description </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The AIHW validates data for seven jurisdictions who provide unit record data and collates and analyses data for all eight jurisdictions following supply of aggregate data by New South Wales.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(2020–21 to 2022–23) for national child protection work. Work is overseen by commonwealth-state/territory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2f0fe470f994209">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19e1b250e73e48e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3775a5518df147c0">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28538163ae9478a">
              <w:r>
                <w:rPr>
                  <w:rStyle w:val="Hyperlink"/>
                </w:rPr>
                <w:t xml:space="preserve">www.aihw.gov.au/about-us</w:t>
              </w:r>
            </w:hyperlink>
            <w:r>
              <w:rPr>
                <w:rStyle w:val="row-content-rich-text"/>
              </w:rPr>
              <w:t xml:space="preserve">, which includes details about the AIHW’s governance (</w:t>
            </w:r>
            <w:hyperlink w:history="true" r:id="R9ab068eb2a8f4a80">
              <w:r>
                <w:rPr>
                  <w:rStyle w:val="Hyperlink"/>
                </w:rPr>
                <w:t xml:space="preserve">www.aihw.gov.au/about-us/our-governance</w:t>
              </w:r>
            </w:hyperlink>
            <w:r>
              <w:rPr>
                <w:rStyle w:val="row-content-rich-text"/>
              </w:rPr>
              <w:t xml:space="preserve">) and vision and strategic goals (</w:t>
            </w:r>
            <w:hyperlink w:history="true" r:id="Re65d1209c2a54d3d">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Data for the CP NMDS are extracted from administrative systems by state and territory departments responsible for child protection in Australia. These state and territory departments are the: Department of Families, Fairness and Housing, Victoria; Department of Children, Youth Justice and Multicultural Affairs, Queensland; Department of Communities, Western Australia; Department of Child Protection, South Australia; Department of Communities, Tasmania; Community Services Directorate, Australian Capital Territory; and, Territory Families, Housing and Communities, Northern Territory. These state and territory departments extract data from administrative data sets according to nationally agreed definitions and technical specifications. This data is then supplied to the AIHW as unit record (child-level) files and forms the basis of the CP NMDS. Any previously unpublished state/territory specific data extracted from the CP NMDS requires approval from jurisdictional data custodians prior to release. An exception is made for the Department of Communities and Justice, New South Wales, where data is provided as aggregate counts.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58111064e2f5487d">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2019–20 CP NMDS is from 1 July 2019 to 30 June 2020. Data relating to child protection investigations includes investigation outcomes recorded up until 31 August 2020,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2019–20 collection, the first iteration of data was due to the AIHW in September 2020, and data were finalised for all states and territories in December 2020. Data from the 2019–20 Child Protection Collection were published in May 2020.</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These reports are available free of charge.</w:t>
            </w:r>
          </w:p>
          <w:p>
            <w:pPr>
              <w:spacing w:after="160"/>
            </w:pPr>
            <w:r>
              <w:rPr>
                <w:rStyle w:val="row-content-rich-text"/>
              </w:rPr>
              <w:t xml:space="preserve">Requests for unpublished data can be made by contacting the AIHW website. See </w:t>
            </w:r>
            <w:hyperlink w:history="true" r:id="R7932af8ec15c4782">
              <w:r>
                <w:rPr>
                  <w:rStyle w:val="Hyperlink"/>
                </w:rPr>
                <w:t xml:space="preserve">https://www.aihw.gov.au/our-services/data-on-request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(02) 6244 1000 or via email to </w:t>
            </w:r>
            <w:hyperlink w:history="true" r:id="Rd27ed0b2ee564d7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appendixes B–E (online) of the </w:t>
            </w:r>
            <w:r>
              <w:rPr>
                <w:rStyle w:val="row-content-rich-text"/>
                <w:i/>
              </w:rPr>
              <w:t xml:space="preserve">Child protection Australia</w:t>
            </w:r>
            <w:r>
              <w:rPr>
                <w:rStyle w:val="row-content-rich-text"/>
              </w:rPr>
              <w:t xml:space="preserve"> reports, and online. Supporting information is also provided in the footnotes accompanying supplementary data tables.</w:t>
            </w:r>
          </w:p>
          <w:p>
            <w:pPr>
              <w:spacing w:after="160"/>
            </w:pPr>
            <w:r>
              <w:rPr>
                <w:rStyle w:val="row-content-rich-text"/>
              </w:rPr>
              <w:t xml:space="preserve">Chapter 1 of the </w:t>
            </w:r>
            <w:hyperlink w:history="true" r:id="R86eaf77c013644d0">
              <w:r>
                <w:rPr>
                  <w:rStyle w:val="Hyperlink"/>
                  <w:i/>
                </w:rPr>
                <w:t xml:space="preserve">Child protection Australia 2019–20</w:t>
              </w:r>
            </w:hyperlink>
            <w:r>
              <w:rPr>
                <w:rStyle w:val="row-content-rich-text"/>
                <w:i/>
              </w:rPr>
              <w:t xml:space="preserve"> </w:t>
            </w:r>
            <w:r>
              <w:rPr>
                <w:rStyle w:val="row-content-rich-text"/>
              </w:rPr>
              <w:t xml:space="preserve"> report, and the glossary provides definitions of key child protection terms provides an overview of the child protection process and data collection.</w:t>
            </w:r>
          </w:p>
          <w:p>
            <w:pPr/>
            <w:r>
              <w:rPr>
                <w:rStyle w:val="row-content-rich-text"/>
              </w:rPr>
              <w:t xml:space="preserve">Metadata for the CP NMDS is available on METeOR, the AIHW’s online metadata repository, and can be accessed at the following page: </w:t>
            </w:r>
            <w:hyperlink w:history="true" r:id="R638db691e1664541">
              <w:r>
                <w:rPr>
                  <w:rStyle w:val="Hyperlink"/>
                </w:rPr>
                <w:t xml:space="preserve">Child protection NMDS 2019–20 (aihw.gov.au)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Where available, these modules provide information on children within each system and the child protection cases, placements and households relating to children and the services provided.</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the CP NMDS are used for reporting:</w:t>
            </w:r>
          </w:p>
          <w:p>
            <w:pPr>
              <w:pStyle w:val="ListParagraph"/>
              <w:numPr>
                <w:ilvl w:val="0"/>
                <w:numId w:val="3"/>
              </w:numPr>
            </w:pPr>
            <w:r>
              <w:rPr>
                <w:rStyle w:val="row-content-rich-text"/>
              </w:rPr>
              <w:t xml:space="preserve">in the annual </w:t>
            </w:r>
            <w:r>
              <w:rPr>
                <w:rStyle w:val="row-content-rich-text"/>
                <w:i/>
              </w:rPr>
              <w:t xml:space="preserve">Child protection Australia</w:t>
            </w:r>
            <w:r>
              <w:rPr>
                <w:rStyle w:val="row-content-rich-text"/>
              </w:rPr>
              <w:t xml:space="preserve"> publications;</w:t>
            </w:r>
          </w:p>
          <w:p>
            <w:pPr>
              <w:pStyle w:val="ListParagraph"/>
              <w:numPr>
                <w:ilvl w:val="0"/>
                <w:numId w:val="3"/>
              </w:numPr>
            </w:pPr>
            <w:r>
              <w:rPr>
                <w:rStyle w:val="row-content-rich-text"/>
              </w:rPr>
              <w:t xml:space="preserve">under the </w:t>
            </w:r>
            <w:r>
              <w:rPr>
                <w:rStyle w:val="row-content-rich-text"/>
                <w:i/>
              </w:rPr>
              <w:t xml:space="preserve">National Framework for Protecting Australia’s Children 2009–2020</w:t>
            </w:r>
            <w:r>
              <w:rPr>
                <w:rStyle w:val="row-content-rich-text"/>
              </w:rPr>
              <w:t xml:space="preserve"> (see </w:t>
            </w:r>
            <w:hyperlink w:history="true" r:id="R52b1e7e731444047">
              <w:r>
                <w:rPr>
                  <w:rStyle w:val="Hyperlink"/>
                </w:rPr>
                <w:t xml:space="preserve">www.aihw.gov.au/reports/child-protection/nfpac</w:t>
              </w:r>
            </w:hyperlink>
            <w:r>
              <w:rPr>
                <w:rStyle w:val="row-content-rich-text"/>
              </w:rPr>
              <w:t xml:space="preserve">);</w:t>
            </w:r>
          </w:p>
          <w:p>
            <w:pPr>
              <w:pStyle w:val="ListParagraph"/>
              <w:numPr>
                <w:ilvl w:val="0"/>
                <w:numId w:val="3"/>
              </w:numPr>
            </w:pPr>
            <w:r>
              <w:rPr>
                <w:rStyle w:val="row-content-rich-text"/>
              </w:rPr>
              <w:t xml:space="preserve">in the annual publication for </w:t>
            </w:r>
            <w:r>
              <w:rPr>
                <w:rStyle w:val="row-content-rich-text"/>
                <w:i/>
              </w:rPr>
              <w:t xml:space="preserve">The Aboriginal and Torres Strait Islander Child Placement Principle Indicators</w:t>
            </w:r>
          </w:p>
          <w:p>
            <w:pPr>
              <w:pStyle w:val="ListParagraph"/>
              <w:numPr>
                <w:ilvl w:val="0"/>
                <w:numId w:val="3"/>
              </w:numPr>
            </w:pPr>
            <w:r>
              <w:rPr>
                <w:rStyle w:val="row-content-rich-text"/>
              </w:rPr>
              <w:t xml:space="preserve">in the annual</w:t>
            </w:r>
            <w:r>
              <w:rPr>
                <w:rStyle w:val="row-content-rich-text"/>
                <w:i/>
              </w:rPr>
              <w:t xml:space="preserve"> Report on Government Services</w:t>
            </w:r>
            <w:r>
              <w:rPr>
                <w:rStyle w:val="row-content-rich-text"/>
              </w:rPr>
              <w:t xml:space="preserve"> for all jurisdictions except New South Wales (see </w:t>
            </w:r>
            <w:hyperlink w:history="true" r:id="R4b7180b553fa46d1">
              <w:r>
                <w:rPr>
                  <w:rStyle w:val="Hyperlink"/>
                </w:rPr>
                <w:t xml:space="preserve">http://www.pc.gov.au/research/ongoing/report-on-government-services/2021/community-services/child-protection</w:t>
              </w:r>
            </w:hyperlink>
            <w:r>
              <w:rPr>
                <w:rStyle w:val="row-content-rich-text"/>
              </w:rPr>
              <w:t xml:space="preserve">).</w:t>
            </w:r>
          </w:p>
          <w:p>
            <w:pPr>
              <w:spacing w:after="160"/>
            </w:pPr>
            <w:r>
              <w:rPr>
                <w:rStyle w:val="row-content-rich-text"/>
              </w:rPr>
              <w:t xml:space="preserve"> </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Therefore, it is likely the true prevalence of child abuse and neglect across Australia is understated.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spacing w:after="160"/>
            </w:pPr>
            <w:r>
              <w:rPr>
                <w:rStyle w:val="row-content-rich-text"/>
              </w:rPr>
              <w:t xml:space="preserve">Differences in data reported from the CP NMDS across the annual </w:t>
            </w:r>
            <w:r>
              <w:rPr>
                <w:rStyle w:val="row-content-rich-text"/>
                <w:i/>
              </w:rPr>
              <w:t xml:space="preserve">Child protection Australia</w:t>
            </w:r>
            <w:r>
              <w:rPr>
                <w:rStyle w:val="row-content-rich-text"/>
              </w:rPr>
              <w:t xml:space="preserve"> and </w:t>
            </w:r>
            <w:r>
              <w:rPr>
                <w:rStyle w:val="row-content-rich-text"/>
                <w:i/>
              </w:rPr>
              <w:t xml:space="preserve">Report on Government Services</w:t>
            </w:r>
            <w:r>
              <w:rPr>
                <w:rStyle w:val="row-content-rich-text"/>
              </w:rPr>
              <w:t xml:space="preserve"> reports may be due to retrospective updates to state/territory data and differences in the data extraction and analysis methodologies.</w:t>
            </w:r>
          </w:p>
          <w:p>
            <w:pPr>
              <w:spacing w:after="160"/>
            </w:pPr>
            <w:r>
              <w:rPr>
                <w:rStyle w:val="row-content-rich-text"/>
                <w:b/>
              </w:rPr>
              <w:t xml:space="preserve"> </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can affect the interpretability of some data.</w:t>
            </w:r>
          </w:p>
          <w:p>
            <w:pPr>
              <w:pStyle w:val="ListParagraph"/>
              <w:numPr>
                <w:ilvl w:val="0"/>
                <w:numId w:val="4"/>
              </w:numPr>
            </w:pPr>
            <w:r>
              <w:rPr>
                <w:rStyle w:val="row-content-rich-text"/>
              </w:rPr>
              <w:t xml:space="preserve">Socioeconomic status and remoteness analyses are based either SA2 or postcode at the time of notification, and/or of the living arrangement. It should be noted that SA2 or postcode can be recorded at different times: at the time the abuse or neglect took place, or at the time of the notification, investigation or substantiation.</w:t>
            </w:r>
          </w:p>
          <w:p>
            <w:pPr>
              <w:pStyle w:val="ListParagraph"/>
              <w:numPr>
                <w:ilvl w:val="0"/>
                <w:numId w:val="4"/>
              </w:numPr>
            </w:pPr>
            <w:r>
              <w:rPr>
                <w:rStyle w:val="row-content-rich-text"/>
              </w:rPr>
              <w:t xml:space="preserve">Disability status is not available for South Australia and differences may exist across other jurisdictions in how disability is defined and captured. Data presented covers 57% of children in out-of-home care.</w:t>
            </w:r>
          </w:p>
          <w:p>
            <w:pPr>
              <w:pStyle w:val="ListParagraph"/>
              <w:numPr>
                <w:ilvl w:val="0"/>
                <w:numId w:val="4"/>
              </w:numPr>
            </w:pPr>
            <w:r>
              <w:rPr>
                <w:rStyle w:val="row-content-rich-text"/>
              </w:rPr>
              <w:t xml:space="preserve">New South Wales data does not include children on finalised supervisory orders and does not strictly conform to the national counting rules for admissions to care and protection orders.</w:t>
            </w:r>
          </w:p>
          <w:p>
            <w:pPr>
              <w:pStyle w:val="ListParagraph"/>
              <w:numPr>
                <w:ilvl w:val="0"/>
                <w:numId w:val="4"/>
              </w:numPr>
            </w:pPr>
            <w:r>
              <w:rPr>
                <w:rStyle w:val="row-content-rich-text"/>
              </w:rPr>
              <w:t xml:space="preserve">Some data on carer households were not available for New South Wales.</w:t>
            </w:r>
          </w:p>
          <w:p>
            <w:pPr>
              <w:pStyle w:val="ListParagraph"/>
              <w:numPr>
                <w:ilvl w:val="0"/>
                <w:numId w:val="4"/>
              </w:numPr>
            </w:pPr>
            <w:r>
              <w:rPr>
                <w:rStyle w:val="row-content-rich-text"/>
              </w:rPr>
              <w:t xml:space="preserve">Data on the relationship of relative/kinship carers was not available for New South Wales, Western Australia, South Australia and the Northern Territory. Data presented covers 35%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w:t>
            </w:r>
            <w:r>
              <w:br/>
            </w:r>
            <w:r>
              <w:rPr>
                <w:rStyle w:val="row-content-rich-text"/>
              </w:rPr>
              <w:t xml:space="preserve">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2019–20:</w:t>
            </w:r>
          </w:p>
          <w:p>
            <w:pPr>
              <w:pStyle w:val="ListParagraph"/>
              <w:numPr>
                <w:ilvl w:val="0"/>
                <w:numId w:val="5"/>
              </w:numPr>
            </w:pPr>
            <w:r>
              <w:rPr>
                <w:rStyle w:val="row-content-rich-text"/>
              </w:rPr>
              <w:t xml:space="preserve">A nationally consistent definition for out-of-home care was implemented for all jurisdictions in 2018–19 and in 2019–20 the out-of-home care data were back cast to 2016–17 using the national definition. Due to data revisions, data for 2016–17 and 2017–18 may differ from those published elsewhere. Data should not be compared with data published in previous versions of </w:t>
            </w:r>
            <w:r>
              <w:rPr>
                <w:rStyle w:val="row-content-rich-text"/>
                <w:i/>
              </w:rPr>
              <w:t xml:space="preserve">Child protection Australia reports</w:t>
            </w:r>
            <w:r>
              <w:rPr>
                <w:rStyle w:val="row-content-rich-text"/>
              </w:rPr>
              <w:t xml:space="preserve">.</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p>
            <w:pPr/>
            <w:r>
              <w:rPr>
                <w:rStyle w:val="row-content-rich-text"/>
              </w:rPr>
              <w:t xml:space="preserve">Data extracted from the CP NMDS represent a ‘snapshot’ of the data at the time of extraction and may not include retrospective updates made to data held by state/territory departments. Furthermore, data produced from the CP NMDS is based on nationally agreed specifications and may not match state and territory figures published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d1bc3d35524113">
              <w:r>
                <w:rPr>
                  <w:rStyle w:val="Hyperlink"/>
                </w:rPr>
                <w:t xml:space="preserve">Child Protection National Minimum Dataset, 2018–19 Data Quality Statement</w:t>
              </w:r>
            </w:hyperlink>
          </w:p>
          <w:p>
            <w:pPr>
              <w:spacing w:before="0" w:after="0"/>
            </w:pPr>
            <w:r>
              <w:rPr>
                <w:rStyle w:val="row-content"/>
                <w:color w:val="244061"/>
              </w:rPr>
              <w:t xml:space="preserve">       </w:t>
            </w:r>
            <w:hyperlink w:history="true" r:id="R25c6508d54c54486">
              <w:r>
                <w:rPr>
                  <w:rStyle w:val="Hyperlink"/>
                  <w:color w:val="244061"/>
                </w:rPr>
                <w:t xml:space="preserve">AIHW Data Quality Statements</w:t>
              </w:r>
            </w:hyperlink>
            <w:r>
              <w:rPr>
                <w:rStyle w:val="row-content"/>
                <w:color w:val="244061"/>
              </w:rPr>
              <w:t xml:space="preserve">, Standard 03/03/2020</w:t>
            </w:r>
          </w:p>
          <w:p>
            <w:r>
              <w:br/>
            </w:r>
            <w:r>
              <w:rPr>
                <w:rStyle w:val="row-content"/>
              </w:rPr>
              <w:t xml:space="preserve">Has been superseded by </w:t>
            </w:r>
            <w:hyperlink w:history="true" r:id="R5e664447ec384b79">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d9fc3057caf74909">
              <w:r>
                <w:rPr>
                  <w:rStyle w:val="Hyperlink"/>
                  <w:color w:val="244061"/>
                </w:rPr>
                <w:t xml:space="preserve">AIHW Data Quality Statements</w:t>
              </w:r>
            </w:hyperlink>
            <w:r>
              <w:rPr>
                <w:rStyle w:val="row-content"/>
                <w:color w:val="244061"/>
              </w:rPr>
              <w:t xml:space="preserve">, Standard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076b169e7ef4216">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d2879f8f19fd4983">
              <w:r>
                <w:rPr>
                  <w:rStyle w:val="Hyperlink"/>
                  <w:color w:val="244061"/>
                </w:rPr>
                <w:t xml:space="preserve">Children and Families</w:t>
              </w:r>
            </w:hyperlink>
            <w:r>
              <w:rPr>
                <w:rStyle w:val="row-content"/>
                <w:color w:val="244061"/>
              </w:rPr>
              <w:t xml:space="preserve">, Qualified 20/10/2021</w:t>
            </w:r>
          </w:p>
          <w:p>
            <w:r>
              <w:br/>
            </w:r>
            <w:hyperlink w:history="true" r:id="R3a2de039f43c4490">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57381a3543649fd">
              <w:r>
                <w:rPr>
                  <w:rStyle w:val="Hyperlink"/>
                  <w:color w:val="244061"/>
                </w:rPr>
                <w:t xml:space="preserve">Children and Families</w:t>
              </w:r>
            </w:hyperlink>
            <w:r>
              <w:rPr>
                <w:rStyle w:val="row-content"/>
                <w:color w:val="244061"/>
              </w:rPr>
              <w:t xml:space="preserve">, Qualified 20/10/2021</w:t>
            </w:r>
          </w:p>
          <w:p>
            <w:r>
              <w:br/>
            </w:r>
            <w:hyperlink w:history="true" r:id="R0a9113557fa24bef">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76981a1c22b34d9d">
              <w:r>
                <w:rPr>
                  <w:rStyle w:val="Hyperlink"/>
                  <w:color w:val="244061"/>
                </w:rPr>
                <w:t xml:space="preserve">Children and Families</w:t>
              </w:r>
            </w:hyperlink>
            <w:r>
              <w:rPr>
                <w:rStyle w:val="row-content"/>
                <w:color w:val="244061"/>
              </w:rPr>
              <w:t xml:space="preserve">, Qualified 20/10/2021</w:t>
            </w:r>
          </w:p>
          <w:p>
            <w:r>
              <w:br/>
            </w:r>
            <w:hyperlink w:history="true" r:id="R27d1193ad1724aa6">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f4852140d03b4c11">
              <w:r>
                <w:rPr>
                  <w:rStyle w:val="Hyperlink"/>
                  <w:color w:val="244061"/>
                </w:rPr>
                <w:t xml:space="preserve">Children and Families</w:t>
              </w:r>
            </w:hyperlink>
            <w:r>
              <w:rPr>
                <w:rStyle w:val="row-content"/>
                <w:color w:val="244061"/>
              </w:rPr>
              <w:t xml:space="preserve">, Qualified 20/10/2021</w:t>
            </w:r>
          </w:p>
          <w:p>
            <w:r>
              <w:br/>
            </w:r>
            <w:hyperlink w:history="true" r:id="R1b7aaf3ed4a149c9">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d718e87c913d4cf2">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d14dc3cef37a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742863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ccf727c92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dc3cef37a4ded" /><Relationship Type="http://schemas.openxmlformats.org/officeDocument/2006/relationships/header" Target="/word/header1.xml" Id="Rf6a5645bf8f64a65" /><Relationship Type="http://schemas.openxmlformats.org/officeDocument/2006/relationships/settings" Target="/word/settings.xml" Id="R37e2056c97c54bcf" /><Relationship Type="http://schemas.openxmlformats.org/officeDocument/2006/relationships/styles" Target="/word/styles.xml" Id="Ra4976114433e4b22" /><Relationship Type="http://schemas.openxmlformats.org/officeDocument/2006/relationships/hyperlink" Target="https://meteor.aihw.gov.au/RegistrationAuthority/5" TargetMode="External" Id="Rae04a98015764d01" /><Relationship Type="http://schemas.openxmlformats.org/officeDocument/2006/relationships/numbering" Target="/word/numbering.xml" Id="Rf922940f76bc49d8" /><Relationship Type="http://schemas.openxmlformats.org/officeDocument/2006/relationships/hyperlink" Target="http://www.comlaw.gov.au/Series/C2004A03450" TargetMode="External" Id="Ra2f0fe470f994209" /><Relationship Type="http://schemas.openxmlformats.org/officeDocument/2006/relationships/hyperlink" Target="http://www.aihw.gov.au/aihw-board/" TargetMode="External" Id="R19e1b250e73e48e3" /><Relationship Type="http://schemas.openxmlformats.org/officeDocument/2006/relationships/hyperlink" Target="http://www.comlaw.gov.au/Details/C2011C00503" TargetMode="External" Id="R3775a5518df147c0" /><Relationship Type="http://schemas.openxmlformats.org/officeDocument/2006/relationships/hyperlink" Target="https://www.aihw.gov.au/about-us" TargetMode="External" Id="R028538163ae9478a" /><Relationship Type="http://schemas.openxmlformats.org/officeDocument/2006/relationships/hyperlink" Target="https://www.aihw.gov.au/about-us/our-governance" TargetMode="External" Id="R9ab068eb2a8f4a80" /><Relationship Type="http://schemas.openxmlformats.org/officeDocument/2006/relationships/hyperlink" Target="https://www.aihw.gov.au/about-us/our-vision-and-strategic-goals" TargetMode="External" Id="Re65d1209c2a54d3d" /><Relationship Type="http://schemas.openxmlformats.org/officeDocument/2006/relationships/hyperlink" Target="http://www.aihw.gov.au" TargetMode="External" Id="R58111064e2f5487d" /><Relationship Type="http://schemas.openxmlformats.org/officeDocument/2006/relationships/hyperlink" Target="https://www.aihw.gov.au/our-services/data-on-request" TargetMode="External" Id="R7932af8ec15c4782" /><Relationship Type="http://schemas.openxmlformats.org/officeDocument/2006/relationships/hyperlink" Target="mailto:info@aihw.gov.au" TargetMode="External" Id="Rd27ed0b2ee564d7d" /><Relationship Type="http://schemas.openxmlformats.org/officeDocument/2006/relationships/hyperlink" Target="https://www.aihw.gov.au/reports/child-protection/child-protection-australia-2019-20" TargetMode="External" Id="R86eaf77c013644d0" /><Relationship Type="http://schemas.openxmlformats.org/officeDocument/2006/relationships/hyperlink" Target="https://meteor.aihw.gov.au/content/740158" TargetMode="External" Id="R638db691e1664541" /><Relationship Type="http://schemas.openxmlformats.org/officeDocument/2006/relationships/hyperlink" Target="http://www.aihw.gov.au/reports/child-protection/nfpac" TargetMode="External" Id="R52b1e7e731444047" /><Relationship Type="http://schemas.openxmlformats.org/officeDocument/2006/relationships/hyperlink" Target="http://www.pc.gov.au/research/ongoing/report-on-government-services/2021/community-services/child-protection" TargetMode="External" Id="R4b7180b553fa46d1" /><Relationship Type="http://schemas.openxmlformats.org/officeDocument/2006/relationships/hyperlink" Target="https://meteor.aihw.gov.au/content/727110" TargetMode="External" Id="R23d1bc3d35524113" /><Relationship Type="http://schemas.openxmlformats.org/officeDocument/2006/relationships/hyperlink" Target="https://meteor.aihw.gov.au/RegistrationAuthority/5" TargetMode="External" Id="R25c6508d54c54486" /><Relationship Type="http://schemas.openxmlformats.org/officeDocument/2006/relationships/hyperlink" Target="https://meteor.aihw.gov.au/content/757571" TargetMode="External" Id="R5e664447ec384b79" /><Relationship Type="http://schemas.openxmlformats.org/officeDocument/2006/relationships/hyperlink" Target="https://meteor.aihw.gov.au/RegistrationAuthority/5" TargetMode="External" Id="Rd9fc3057caf74909" /><Relationship Type="http://schemas.openxmlformats.org/officeDocument/2006/relationships/hyperlink" Target="https://meteor.aihw.gov.au/content/749970" TargetMode="External" Id="R2076b169e7ef4216" /><Relationship Type="http://schemas.openxmlformats.org/officeDocument/2006/relationships/hyperlink" Target="https://meteor.aihw.gov.au/RegistrationAuthority/17" TargetMode="External" Id="Rd2879f8f19fd4983" /><Relationship Type="http://schemas.openxmlformats.org/officeDocument/2006/relationships/hyperlink" Target="https://meteor.aihw.gov.au/content/749972" TargetMode="External" Id="R3a2de039f43c4490" /><Relationship Type="http://schemas.openxmlformats.org/officeDocument/2006/relationships/hyperlink" Target="https://meteor.aihw.gov.au/RegistrationAuthority/17" TargetMode="External" Id="R257381a3543649fd" /><Relationship Type="http://schemas.openxmlformats.org/officeDocument/2006/relationships/hyperlink" Target="https://meteor.aihw.gov.au/content/749974" TargetMode="External" Id="R0a9113557fa24bef" /><Relationship Type="http://schemas.openxmlformats.org/officeDocument/2006/relationships/hyperlink" Target="https://meteor.aihw.gov.au/RegistrationAuthority/17" TargetMode="External" Id="R76981a1c22b34d9d" /><Relationship Type="http://schemas.openxmlformats.org/officeDocument/2006/relationships/hyperlink" Target="https://meteor.aihw.gov.au/content/749991" TargetMode="External" Id="R27d1193ad1724aa6" /><Relationship Type="http://schemas.openxmlformats.org/officeDocument/2006/relationships/hyperlink" Target="https://meteor.aihw.gov.au/RegistrationAuthority/17" TargetMode="External" Id="Rf4852140d03b4c11" /><Relationship Type="http://schemas.openxmlformats.org/officeDocument/2006/relationships/hyperlink" Target="https://meteor.aihw.gov.au/content/749993" TargetMode="External" Id="R1b7aaf3ed4a149c9" /><Relationship Type="http://schemas.openxmlformats.org/officeDocument/2006/relationships/hyperlink" Target="https://meteor.aihw.gov.au/RegistrationAuthority/17" TargetMode="External" Id="Rd718e87c913d4cf2" /></Relationships>
</file>

<file path=word/_rels/header1.xml.rels>&#65279;<?xml version="1.0" encoding="utf-8"?><Relationships xmlns="http://schemas.openxmlformats.org/package/2006/relationships"><Relationship Type="http://schemas.openxmlformats.org/officeDocument/2006/relationships/image" Target="/media/image.png" Id="R6c6ccf727c924a1d" /></Relationships>
</file>