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8e4ca9220634b02" /></Relationships>
</file>

<file path=word/document.xml><?xml version="1.0" encoding="utf-8"?>
<w:document xmlns:r="http://schemas.openxmlformats.org/officeDocument/2006/relationships" xmlns:w="http://schemas.openxmlformats.org/wordprocessingml/2006/main">
  <w:body>
    <w:p>
      <w:pPr>
        <w:pStyle w:val="Title"/>
      </w:pPr>
      <w:r>
        <w:t>Product of birth—birthweight,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Product of birth—birthweight,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Birth weight of baby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742849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6062157a743460e">
              <w:r>
                <w:rPr>
                  <w:rStyle w:val="Hyperlink"/>
                  <w:color w:val="244061"/>
                </w:rPr>
                <w:t xml:space="preserve">Indigenous</w:t>
              </w:r>
            </w:hyperlink>
            <w:r>
              <w:rPr>
                <w:rStyle w:val="row-content"/>
                <w:color w:val="244061"/>
              </w:rPr>
              <w:t xml:space="preserve">, Standard 14/07/2021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first weight of a </w:t>
            </w:r>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b0494891e93a492f">
              <w:r>
                <w:rPr>
                  <w:rStyle w:val="Hyperlink"/>
                  <w:b/>
                </w:rPr>
                <w:t xml:space="preserve">live born</w:t>
              </w:r>
            </w:hyperlink>
            <w:r>
              <w:rPr>
                <w:rStyle w:val="row-content-rich-text"/>
              </w:rPr>
              <w:t xml:space="preserve"> or </w:t>
            </w:r>
            <w:hyperlink w:tooltip="A fetal death prior to the complete expulsion or extraction from its mother of a product of conception of 20 or more completed weeks of gestation or of 400 grams or more birthweight.&#10;The death is indicated by the fact that after such separation the fet..." w:history="true" r:id="R8a59cbb0a3c640bd">
              <w:r>
                <w:rPr>
                  <w:rStyle w:val="Hyperlink"/>
                  <w:b/>
                </w:rPr>
                <w:t xml:space="preserve">stillborn </w:t>
              </w:r>
            </w:hyperlink>
            <w:r>
              <w:rPr>
                <w:rStyle w:val="row-content-rich-text"/>
              </w:rPr>
              <w:t xml:space="preserve">baby obtained after birth,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b04c0b403e84692">
              <w:r>
                <w:rPr>
                  <w:rStyle w:val="Hyperlink"/>
                </w:rPr>
                <w:t xml:space="preserve">Product of birth—birthweight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733408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f7f69ff4fee4ce7">
              <w:r>
                <w:rPr>
                  <w:rStyle w:val="Hyperlink"/>
                  <w:color w:val="244061"/>
                </w:rPr>
                <w:t xml:space="preserve">Health</w:t>
              </w:r>
            </w:hyperlink>
            <w:r>
              <w:rPr>
                <w:rStyle w:val="row-content"/>
                <w:color w:val="244061"/>
              </w:rPr>
              <w:t xml:space="preserve">, Standard 03/12/2020</w:t>
            </w:r>
          </w:p>
          <w:p>
            <w:pPr>
              <w:spacing w:before="0" w:after="0"/>
            </w:pPr>
            <w:hyperlink w:history="true" r:id="R1ce7278460694aa5">
              <w:r>
                <w:rPr>
                  <w:rStyle w:val="Hyperlink"/>
                  <w:color w:val="244061"/>
                </w:rPr>
                <w:t xml:space="preserve">Indigenous</w:t>
              </w:r>
            </w:hyperlink>
            <w:r>
              <w:rPr>
                <w:rStyle w:val="row-content"/>
                <w:color w:val="244061"/>
              </w:rPr>
              <w:t xml:space="preserve">, Standard 14/07/2021</w:t>
            </w:r>
          </w:p>
          <w:p>
            <w:pPr>
              <w:spacing w:before="0" w:after="0"/>
            </w:pPr>
            <w:hyperlink w:history="true" r:id="Rd24a26cbc0ea412a">
              <w:r>
                <w:rPr>
                  <w:rStyle w:val="Hyperlink"/>
                  <w:color w:val="244061"/>
                </w:rPr>
                <w:t xml:space="preserve">Tasmanian Health</w:t>
              </w:r>
            </w:hyperlink>
            <w:r>
              <w:rPr>
                <w:rStyle w:val="row-content"/>
                <w:color w:val="244061"/>
              </w:rPr>
              <w:t xml:space="preserve">, Standard 07/11/2023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first weight of a </w:t>
            </w:r>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66372ce8ebbe4e1e">
              <w:r>
                <w:rPr>
                  <w:rStyle w:val="Hyperlink"/>
                  <w:b/>
                </w:rPr>
                <w:t xml:space="preserve">live born </w:t>
              </w:r>
            </w:hyperlink>
            <w:r>
              <w:rPr>
                <w:rStyle w:val="row-content-rich-text"/>
              </w:rPr>
              <w:t xml:space="preserve">or </w:t>
            </w:r>
            <w:hyperlink w:tooltip="A fetal death prior to the complete expulsion or extraction from its mother of a product of conception of 20 or more completed weeks of gestation or of 400 grams or more birthweight.&#10;The death is indicated by the fact that after such separation the fet..." w:history="true" r:id="R6cf08cc3beda489a">
              <w:r>
                <w:rPr>
                  <w:rStyle w:val="Hyperlink"/>
                  <w:b/>
                </w:rPr>
                <w:t xml:space="preserve">stillborn </w:t>
              </w:r>
            </w:hyperlink>
            <w:r>
              <w:rPr>
                <w:rStyle w:val="row-content-rich-text"/>
              </w:rPr>
              <w:t xml:space="preserve">baby obtained after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5fd249975e3404d">
              <w:r>
                <w:rPr>
                  <w:rStyle w:val="Hyperlink"/>
                </w:rPr>
                <w:t xml:space="preserve">Product of birth</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c7170e469d1475b">
              <w:r>
                <w:rPr>
                  <w:rStyle w:val="Hyperlink"/>
                </w:rPr>
                <w:t xml:space="preserve">Birthweight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c452220872a44e1">
              <w:r>
                <w:rPr>
                  <w:rStyle w:val="Hyperlink"/>
                </w:rPr>
                <w:t xml:space="preserve">Birth weight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459935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7e1109592d847dc">
              <w:r>
                <w:rPr>
                  <w:rStyle w:val="Hyperlink"/>
                  <w:color w:val="244061"/>
                </w:rPr>
                <w:t xml:space="preserve">Health</w:t>
              </w:r>
            </w:hyperlink>
            <w:r>
              <w:rPr>
                <w:rStyle w:val="row-content"/>
                <w:color w:val="244061"/>
              </w:rPr>
              <w:t xml:space="preserve">, Standard 07/12/2011</w:t>
            </w:r>
          </w:p>
          <w:p>
            <w:pPr>
              <w:spacing w:before="0" w:after="0"/>
            </w:pPr>
            <w:hyperlink w:history="true" r:id="R3cfcbb279b914317">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birth weight.</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Low birth weight (less than 2,500 grams)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Normal birth weight (2,500 grams to less than 4,500 grams)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High birth weight (4,500 grams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Unknown birth weight</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w:t>
            </w:r>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d6014628d1894ebd">
              <w:r>
                <w:rPr>
                  <w:rStyle w:val="Hyperlink"/>
                  <w:b/>
                </w:rPr>
                <w:t xml:space="preserve">live births</w:t>
              </w:r>
            </w:hyperlink>
            <w:r>
              <w:rPr>
                <w:rStyle w:val="row-content-rich-text"/>
              </w:rPr>
              <w:t xml:space="preserve">, </w:t>
            </w:r>
            <w:hyperlink w:tooltip="The first weight of a live born or stillborn baby obtained after birth. The World Health Organization further defines the following categories:&#10;extremely low birthweight: less than 1,000 grams (up to and including 999 grams),&#10;very low birthweight: l..." w:history="true" r:id="Rea635229bdae40d1">
              <w:r>
                <w:rPr>
                  <w:rStyle w:val="Hyperlink"/>
                  <w:b/>
                </w:rPr>
                <w:t xml:space="preserve">birthweight</w:t>
              </w:r>
            </w:hyperlink>
            <w:r>
              <w:rPr>
                <w:rStyle w:val="row-content-rich-text"/>
              </w:rPr>
              <w:t xml:space="preserve"> should preferably be measured within the first hour of life before significant postnatal weight loss has occurred.</w:t>
            </w:r>
          </w:p>
          <w:p>
            <w:pPr/>
            <w:r>
              <w:rPr>
                <w:rStyle w:val="row-content-rich-text"/>
              </w:rPr>
              <w:t xml:space="preserve">In perinatal collections the birthweight is to be provided for live born and stillborn babies.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e8325369b83483f">
              <w:r>
                <w:rPr>
                  <w:rStyle w:val="Hyperlink"/>
                </w:rPr>
                <w:t xml:space="preserve">Product of birth—birthweight, code N</w:t>
              </w:r>
            </w:hyperlink>
          </w:p>
          <w:p>
            <w:pPr>
              <w:spacing w:before="0" w:after="0"/>
            </w:pPr>
            <w:r>
              <w:rPr>
                <w:rStyle w:val="row-content"/>
                <w:color w:val="244061"/>
              </w:rPr>
              <w:t xml:space="preserve">       </w:t>
            </w:r>
            <w:hyperlink w:history="true" r:id="R663dd9cf17074758">
              <w:r>
                <w:rPr>
                  <w:rStyle w:val="Hyperlink"/>
                  <w:color w:val="244061"/>
                </w:rPr>
                <w:t xml:space="preserve">Health</w:t>
              </w:r>
            </w:hyperlink>
            <w:r>
              <w:rPr>
                <w:rStyle w:val="row-content"/>
                <w:color w:val="244061"/>
              </w:rPr>
              <w:t xml:space="preserve">, Standard 12/12/2018</w:t>
            </w:r>
          </w:p>
          <w:p>
            <w:pPr>
              <w:spacing w:before="0" w:after="0"/>
            </w:pPr>
            <w:r>
              <w:rPr>
                <w:rStyle w:val="row-content"/>
                <w:color w:val="244061"/>
              </w:rPr>
              <w:t xml:space="preserve">       </w:t>
            </w:r>
            <w:hyperlink w:history="true" r:id="Rb9c9b9c3d5dd4ddd">
              <w:r>
                <w:rPr>
                  <w:rStyle w:val="Hyperlink"/>
                  <w:color w:val="244061"/>
                </w:rPr>
                <w:t xml:space="preserve">Indigenous</w:t>
              </w:r>
            </w:hyperlink>
            <w:r>
              <w:rPr>
                <w:rStyle w:val="row-content"/>
                <w:color w:val="244061"/>
              </w:rPr>
              <w:t xml:space="preserve">, Superseded 14/07/2021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1a60e130a2c4a29">
              <w:r>
                <w:rPr>
                  <w:rStyle w:val="Hyperlink"/>
                </w:rPr>
                <w:t xml:space="preserve">Aboriginal and Torres Strait Islander specific primary health care NBEDS December 2023</w:t>
              </w:r>
            </w:hyperlink>
          </w:p>
          <w:p>
            <w:pPr>
              <w:spacing w:before="0" w:after="0"/>
            </w:pPr>
            <w:r>
              <w:rPr>
                <w:rStyle w:val="row-content"/>
                <w:color w:val="244061"/>
              </w:rPr>
              <w:t xml:space="preserve">       </w:t>
            </w:r>
            <w:hyperlink w:history="true" r:id="R41a5aef0f5344e7f">
              <w:r>
                <w:rPr>
                  <w:rStyle w:val="Hyperlink"/>
                  <w:color w:val="244061"/>
                </w:rPr>
                <w:t xml:space="preserve">Indigenous</w:t>
              </w:r>
            </w:hyperlink>
            <w:r>
              <w:rPr>
                <w:rStyle w:val="row-content"/>
                <w:color w:val="244061"/>
              </w:rPr>
              <w:t xml:space="preserve">, Standard 25/02/2024</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31/12/2023</w:t>
            </w:r>
            <w:r>
              <w:br/>
            </w:r>
            <w:r>
              <w:rPr>
                <w:rStyle w:val="row-content"/>
                <w:b/>
                <w:i/>
              </w:rPr>
              <w:t xml:space="preserve">Conditional obligation: </w:t>
            </w:r>
          </w:p>
          <w:p>
            <w:r>
              <w:rPr>
                <w:rStyle w:val="row-content"/>
              </w:rPr>
              <w:t xml:space="preserve">Reporting against this data element is conditional on a 'CODE 1 Yes' response to '</w:t>
            </w:r>
            <w:hyperlink w:history="true" r:id="R579fe82f27e548f4">
              <w:r>
                <w:rPr>
                  <w:rStyle w:val="Hyperlink"/>
                </w:rPr>
                <w:t xml:space="preserve">Person—birthweight recorded indicator, yes/no code N</w:t>
              </w:r>
            </w:hyperlink>
            <w:r>
              <w:rPr>
                <w:rStyle w:val="row-content"/>
              </w:rPr>
              <w:t xml:space="preserve">'.</w:t>
            </w:r>
          </w:p>
          <w:p>
            <w:r>
              <w:rPr>
                <w:rStyle w:val="row-content"/>
              </w:rPr>
              <w:t xml:space="preserve">Data are only provided to the AIHW for babies born during the preceding 12 months up to the census date who attended the organisation more than once.</w:t>
            </w:r>
          </w:p>
          <w:p>
            <w:r>
              <w:rPr>
                <w:rStyle w:val="row-content"/>
              </w:rPr>
              <w:t xml:space="preserve">Data are provided to the AIHW for live births.</w:t>
            </w:r>
          </w:p>
          <w:p>
            <w:r>
              <w:br/>
            </w:r>
            <w:r>
              <w:rPr>
                <w:rStyle w:val="row-content"/>
                <w:b/>
                <w:i/>
              </w:rPr>
              <w:t xml:space="preserve">DSS specific information: </w:t>
            </w:r>
          </w:p>
          <w:p>
            <w:r>
              <w:rPr>
                <w:rStyle w:val="row-content"/>
              </w:rPr>
              <w:t xml:space="preserve">In the ATSISPHC NBEDS only aggregated data with CODE 1, CODE 2, or CODE 3 are provided to the AIHW.</w:t>
            </w:r>
          </w:p>
          <w:p>
            <w:r>
              <w:rPr>
                <w:rStyle w:val="row-content"/>
              </w:rPr>
              <w:t xml:space="preserve">In the ATSISPHC NBEDS, babies do not need to fulfil all the requirements of being a First Nations regular client, as long as they have a file at the health organisation and attended the organisation more than once.</w:t>
            </w:r>
          </w:p>
          <w:p>
            <w:r>
              <w:rPr>
                <w:rStyle w:val="row-content"/>
              </w:rPr>
              <w:t xml:space="preserve">The birthweight is to be taken from the baby’s client record where available. Where the birthweight is not recorded in the baby’s client record, the mother’s record may be used as a source of birth details.</w:t>
            </w:r>
          </w:p>
          <w:p>
            <w:r>
              <w:rPr>
                <w:rStyle w:val="row-content"/>
              </w:rPr>
              <w:t xml:space="preserve">The birthweight may have been recorded during an appointment or received from sharing client data with other organisations, such as a hospital.</w:t>
            </w:r>
          </w:p>
          <w:p>
            <w:r>
              <w:br/>
            </w:r>
            <w:r>
              <w:br/>
            </w:r>
            <w:hyperlink w:history="true" r:id="R668610f667064211">
              <w:r>
                <w:rPr>
                  <w:rStyle w:val="Hyperlink"/>
                </w:rPr>
                <w:t xml:space="preserve">Aboriginal and Torres Strait Islander specific primary health care NBEDS June 2024</w:t>
              </w:r>
            </w:hyperlink>
          </w:p>
          <w:p>
            <w:pPr>
              <w:spacing w:before="0" w:after="0"/>
            </w:pPr>
            <w:r>
              <w:rPr>
                <w:rStyle w:val="row-content"/>
                <w:color w:val="244061"/>
              </w:rPr>
              <w:t xml:space="preserve">       </w:t>
            </w:r>
            <w:hyperlink w:history="true" r:id="R28224846d93848e6">
              <w:r>
                <w:rPr>
                  <w:rStyle w:val="Hyperlink"/>
                  <w:color w:val="244061"/>
                </w:rPr>
                <w:t xml:space="preserve">Indigenous</w:t>
              </w:r>
            </w:hyperlink>
            <w:r>
              <w:rPr>
                <w:rStyle w:val="row-content"/>
                <w:color w:val="244061"/>
              </w:rPr>
              <w:t xml:space="preserve">, Qualified 17/04/2024</w:t>
            </w:r>
          </w:p>
          <w:p>
            <w:r>
              <w:rPr>
                <w:rStyle w:val="row-content"/>
                <w:b/>
                <w:i/>
              </w:rPr>
              <w:t xml:space="preserve">Implementation start date: </w:t>
            </w:r>
            <w:r>
              <w:rPr>
                <w:rStyle w:val="row-content"/>
              </w:rPr>
              <w:t xml:space="preserve">01/01/2024</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Reporting against this data element is conditional on a 'CODE 1 Yes' response to '</w:t>
            </w:r>
            <w:hyperlink w:history="true" r:id="R546bda9541674815">
              <w:r>
                <w:rPr>
                  <w:rStyle w:val="Hyperlink"/>
                </w:rPr>
                <w:t xml:space="preserve">Person—birthweight recorded indicator, yes/no code N</w:t>
              </w:r>
            </w:hyperlink>
            <w:r>
              <w:rPr>
                <w:rStyle w:val="row-content"/>
              </w:rPr>
              <w:t xml:space="preserve">'.</w:t>
            </w:r>
          </w:p>
          <w:p>
            <w:r>
              <w:rPr>
                <w:rStyle w:val="row-content"/>
              </w:rPr>
              <w:t xml:space="preserve">Data are only provided to the AIHW for babies born during the preceding 12 months up to the census date who attended the organisation more than once.</w:t>
            </w:r>
          </w:p>
          <w:p>
            <w:r>
              <w:rPr>
                <w:rStyle w:val="row-content"/>
              </w:rPr>
              <w:t xml:space="preserve">Data are provided to the AIHW for live births.</w:t>
            </w:r>
          </w:p>
          <w:p>
            <w:r>
              <w:br/>
            </w:r>
            <w:r>
              <w:rPr>
                <w:rStyle w:val="row-content"/>
                <w:b/>
                <w:i/>
              </w:rPr>
              <w:t xml:space="preserve">DSS specific information: </w:t>
            </w:r>
          </w:p>
          <w:p>
            <w:r>
              <w:rPr>
                <w:rStyle w:val="row-content"/>
              </w:rPr>
              <w:t xml:space="preserve">In the ATSISPHC NBEDS only aggregated data with CODE 1, CODE 2, or CODE 3 are provided to the AIHW.</w:t>
            </w:r>
          </w:p>
          <w:p>
            <w:r>
              <w:rPr>
                <w:rStyle w:val="row-content"/>
              </w:rPr>
              <w:t xml:space="preserve">In the ATSISPHC NBEDS, babies do not need to fulfil all the requirements of being a First Nations regular client, as long as they have a file at the health organisation and attended the organisation more than once.</w:t>
            </w:r>
          </w:p>
          <w:p>
            <w:r>
              <w:rPr>
                <w:rStyle w:val="row-content"/>
              </w:rPr>
              <w:t xml:space="preserve">The birthweight is to be taken from the baby’s client record where available. Where the birthweight is not recorded in the baby’s client record, the mother’s record may be used as a source of birth details.</w:t>
            </w:r>
          </w:p>
          <w:p>
            <w:r>
              <w:rPr>
                <w:rStyle w:val="row-content"/>
              </w:rPr>
              <w:t xml:space="preserve">The birthweight may have been recorded during an appointment or received from sharing client data with other organisations, such as a hospital.</w:t>
            </w:r>
          </w:p>
          <w:p>
            <w:r>
              <w:br/>
            </w:r>
            <w:r>
              <w:br/>
            </w:r>
            <w:hyperlink w:history="true" r:id="R90a94dcbd1a241b3">
              <w:r>
                <w:rPr>
                  <w:rStyle w:val="Hyperlink"/>
                </w:rPr>
                <w:t xml:space="preserve">Indigenous-specific primary health care NBEDS December 2020</w:t>
              </w:r>
            </w:hyperlink>
          </w:p>
          <w:p>
            <w:pPr>
              <w:spacing w:before="0" w:after="0"/>
            </w:pPr>
            <w:r>
              <w:rPr>
                <w:rStyle w:val="row-content"/>
                <w:color w:val="244061"/>
              </w:rPr>
              <w:t xml:space="preserve">       </w:t>
            </w:r>
            <w:hyperlink w:history="true" r:id="Rb29a964a19424615">
              <w:r>
                <w:rPr>
                  <w:rStyle w:val="Hyperlink"/>
                  <w:color w:val="244061"/>
                </w:rPr>
                <w:t xml:space="preserve">Indigenous</w:t>
              </w:r>
            </w:hyperlink>
            <w:r>
              <w:rPr>
                <w:rStyle w:val="row-content"/>
                <w:color w:val="244061"/>
              </w:rPr>
              <w:t xml:space="preserve">, Superseded 03/07/2022</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31/12/2020</w:t>
            </w:r>
            <w:r>
              <w:br/>
            </w:r>
            <w:r>
              <w:rPr>
                <w:rStyle w:val="row-content"/>
                <w:b/>
                <w:i/>
              </w:rPr>
              <w:t xml:space="preserve">Conditional obligation: </w:t>
            </w:r>
          </w:p>
          <w:p>
            <w:r>
              <w:rPr>
                <w:rStyle w:val="row-content"/>
              </w:rPr>
              <w:t xml:space="preserve">Reporting against this data element is conditional on a 'CODE 1 Yes' response to '</w:t>
            </w:r>
            <w:hyperlink w:history="true" r:id="Rdd0cabf2e24a4d60">
              <w:r>
                <w:rPr>
                  <w:rStyle w:val="Hyperlink"/>
                </w:rPr>
                <w:t xml:space="preserve">Person—birthweight recorded indicator, yes/no code N</w:t>
              </w:r>
            </w:hyperlink>
            <w:r>
              <w:rPr>
                <w:rStyle w:val="row-content"/>
              </w:rPr>
              <w:t xml:space="preserve">', and a 'CODE 1 Singleton' response to '</w:t>
            </w:r>
            <w:hyperlink w:history="true" r:id="R4a3575e8c7b949e3">
              <w:r>
                <w:rPr>
                  <w:rStyle w:val="Hyperlink"/>
                </w:rPr>
                <w:t xml:space="preserve">Pregnancy—birth plurality, code N</w:t>
              </w:r>
            </w:hyperlink>
            <w:r>
              <w:rPr>
                <w:rStyle w:val="row-content"/>
              </w:rPr>
              <w:t xml:space="preserve">.'</w:t>
            </w:r>
          </w:p>
          <w:p>
            <w:r>
              <w:rPr>
                <w:rStyle w:val="row-content"/>
              </w:rPr>
              <w:t xml:space="preserve">Data are only provided to the AIHW for babies born during the preceding 12 months up to the census date.</w:t>
            </w:r>
          </w:p>
          <w:p>
            <w:r>
              <w:rPr>
                <w:rStyle w:val="row-content"/>
              </w:rPr>
              <w:t xml:space="preserve">Data are provided to the AIHW for </w:t>
            </w:r>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6d0586ee23e4463a">
              <w:r>
                <w:rPr>
                  <w:rStyle w:val="Hyperlink"/>
                  <w:b/>
                </w:rPr>
                <w:t xml:space="preserve">live births</w:t>
              </w:r>
            </w:hyperlink>
            <w:r>
              <w:rPr>
                <w:rStyle w:val="row-content"/>
              </w:rPr>
              <w:t xml:space="preserve"> that are at least 20 weeks’ gestation or at least 400 grams birthweight. </w:t>
            </w:r>
          </w:p>
          <w:p>
            <w:r>
              <w:rPr>
                <w:rStyle w:val="row-content"/>
              </w:rPr>
              <w:t xml:space="preserve">Data are not provided to the AIHW for babies without a medical record of their own at the health organisation, even if their information is recorded in their mother's record.</w:t>
            </w:r>
          </w:p>
          <w:p>
            <w:r>
              <w:rPr>
                <w:rStyle w:val="row-content"/>
              </w:rPr>
              <w:t xml:space="preserve">Data are not provided to the AIHW for babies with unknown gestational age.</w:t>
            </w:r>
          </w:p>
          <w:p>
            <w:r>
              <w:br/>
            </w:r>
            <w:r>
              <w:rPr>
                <w:rStyle w:val="row-content"/>
                <w:b/>
                <w:i/>
              </w:rPr>
              <w:t xml:space="preserve">DSS specific information: </w:t>
            </w:r>
          </w:p>
          <w:p>
            <w:r>
              <w:rPr>
                <w:rStyle w:val="row-content"/>
              </w:rPr>
              <w:t xml:space="preserve">In the ISPHC NBEDS, babies do not need to fulfil all the requirements of being an </w:t>
            </w:r>
            <w:hyperlink w:tooltip="Indigenous regular client refers to an Indigenous client of an Australian Government Department of Health-funded Indigenous-specific primary health care organisation that is required to report against the Indigenous-specific primary health care nationa..." w:history="true" r:id="R79abbcdaf92944b3">
              <w:r>
                <w:rPr>
                  <w:rStyle w:val="Hyperlink"/>
                  <w:b/>
                </w:rPr>
                <w:t xml:space="preserve">Indigenous regular client</w:t>
              </w:r>
            </w:hyperlink>
            <w:r>
              <w:rPr>
                <w:rStyle w:val="row-content"/>
              </w:rPr>
              <w:t xml:space="preserve">, as long as they have a file at the health organisation.</w:t>
            </w:r>
          </w:p>
          <w:p>
            <w:r>
              <w:rPr>
                <w:rStyle w:val="row-content"/>
              </w:rPr>
              <w:t xml:space="preserve">The birthweight may have been recorded during an appointment or received from sharing client data with other organisations, such as a hospital.</w:t>
            </w:r>
          </w:p>
          <w:p>
            <w:r>
              <w:rPr>
                <w:rStyle w:val="row-content"/>
              </w:rPr>
              <w:t xml:space="preserve">In the ISPHC NBEDS only aggregated data with CODE 1, CODE 2, or CODE 3 are provided to the AIHW.</w:t>
            </w:r>
          </w:p>
          <w:p>
            <w:r>
              <w:br/>
            </w:r>
            <w:r>
              <w:br/>
            </w:r>
            <w:hyperlink w:history="true" r:id="R214e03e4af7f407c">
              <w:r>
                <w:rPr>
                  <w:rStyle w:val="Hyperlink"/>
                </w:rPr>
                <w:t xml:space="preserve">Indigenous-specific primary health care NBEDS December 2021</w:t>
              </w:r>
            </w:hyperlink>
          </w:p>
          <w:p>
            <w:pPr>
              <w:spacing w:before="0" w:after="0"/>
            </w:pPr>
            <w:r>
              <w:rPr>
                <w:rStyle w:val="row-content"/>
                <w:color w:val="244061"/>
              </w:rPr>
              <w:t xml:space="preserve">       </w:t>
            </w:r>
            <w:hyperlink w:history="true" r:id="R2f0866aff0c64205">
              <w:r>
                <w:rPr>
                  <w:rStyle w:val="Hyperlink"/>
                  <w:color w:val="244061"/>
                </w:rPr>
                <w:t xml:space="preserve">Indigenous</w:t>
              </w:r>
            </w:hyperlink>
            <w:r>
              <w:rPr>
                <w:rStyle w:val="row-content"/>
                <w:color w:val="244061"/>
              </w:rPr>
              <w:t xml:space="preserve">, Superseded 12/06/2023</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31/12/2021</w:t>
            </w:r>
            <w:r>
              <w:br/>
            </w:r>
            <w:r>
              <w:rPr>
                <w:rStyle w:val="row-content"/>
                <w:b/>
                <w:i/>
              </w:rPr>
              <w:t xml:space="preserve">Conditional obligation: </w:t>
            </w:r>
          </w:p>
          <w:p>
            <w:r>
              <w:rPr>
                <w:rStyle w:val="row-content"/>
              </w:rPr>
              <w:t xml:space="preserve">Reporting against this data element is conditional on a 'CODE 1 Yes' response to '</w:t>
            </w:r>
            <w:hyperlink w:history="true" r:id="Rf49726c2314f4411">
              <w:r>
                <w:rPr>
                  <w:rStyle w:val="Hyperlink"/>
                </w:rPr>
                <w:t xml:space="preserve">Person—birthweight recorded indicator, yes/no code N</w:t>
              </w:r>
            </w:hyperlink>
            <w:r>
              <w:rPr>
                <w:rStyle w:val="row-content"/>
              </w:rPr>
              <w:t xml:space="preserve">'.</w:t>
            </w:r>
          </w:p>
          <w:p>
            <w:r>
              <w:rPr>
                <w:rStyle w:val="row-content"/>
              </w:rPr>
              <w:t xml:space="preserve">Data are only provided to the AIHW for babies born during the preceding 12 months up to the census date who attended the organisation more than once.</w:t>
            </w:r>
          </w:p>
          <w:p>
            <w:r>
              <w:rPr>
                <w:rStyle w:val="row-content"/>
              </w:rPr>
              <w:t xml:space="preserve">Data are provided to the AIHW for </w:t>
            </w:r>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4352041e6f3b479f">
              <w:r>
                <w:rPr>
                  <w:rStyle w:val="Hyperlink"/>
                  <w:b/>
                </w:rPr>
                <w:t xml:space="preserve">live births</w:t>
              </w:r>
            </w:hyperlink>
            <w:r>
              <w:rPr>
                <w:rStyle w:val="row-content"/>
              </w:rPr>
              <w:t xml:space="preserve">.</w:t>
            </w:r>
          </w:p>
          <w:p>
            <w:r>
              <w:br/>
            </w:r>
            <w:r>
              <w:rPr>
                <w:rStyle w:val="row-content"/>
                <w:b/>
                <w:i/>
              </w:rPr>
              <w:t xml:space="preserve">DSS specific information: </w:t>
            </w:r>
          </w:p>
          <w:p>
            <w:r>
              <w:rPr>
                <w:rStyle w:val="row-content"/>
              </w:rPr>
              <w:t xml:space="preserve">In the ISPHC NBEDS, babies do not need to fulfil all the requirements of being an </w:t>
            </w:r>
            <w:hyperlink w:tooltip="Indigenous regular client refers to an Indigenous client of an Australian Government Department of Health-funded Indigenous-specific primary health care organisation or maternal and child health program/service that is required to report against the In..." w:history="true" r:id="R1048c677387449f7">
              <w:r>
                <w:rPr>
                  <w:rStyle w:val="Hyperlink"/>
                  <w:b/>
                </w:rPr>
                <w:t xml:space="preserve">Indigenous regular client</w:t>
              </w:r>
            </w:hyperlink>
            <w:r>
              <w:rPr>
                <w:rStyle w:val="row-content"/>
              </w:rPr>
              <w:t xml:space="preserve">, as long as they have a file at the health organisation and attended the organisation more than once.</w:t>
            </w:r>
          </w:p>
          <w:p>
            <w:r>
              <w:rPr>
                <w:rStyle w:val="row-content"/>
              </w:rPr>
              <w:t xml:space="preserve">The birthweight is to be taken from the baby’s client record where available. Where the birthweight is not recorded in the baby’s client record, the mother’s record may be used as a source of birth details.</w:t>
            </w:r>
          </w:p>
          <w:p>
            <w:r>
              <w:rPr>
                <w:rStyle w:val="row-content"/>
              </w:rPr>
              <w:t xml:space="preserve">The birthweight may have been recorded during an appointment or received from sharing client data with other organisations, such as a hospital.</w:t>
            </w:r>
          </w:p>
          <w:p>
            <w:r>
              <w:rPr>
                <w:rStyle w:val="row-content"/>
              </w:rPr>
              <w:t xml:space="preserve">In the ISPHC NBEDS only aggregated data with CODE 1, CODE 2, or CODE 3 are provided to the AIHW.</w:t>
            </w:r>
          </w:p>
          <w:p>
            <w:r>
              <w:br/>
            </w:r>
            <w:r>
              <w:br/>
            </w:r>
            <w:hyperlink w:history="true" r:id="R4f9feb4a49f04290">
              <w:r>
                <w:rPr>
                  <w:rStyle w:val="Hyperlink"/>
                </w:rPr>
                <w:t xml:space="preserve">Indigenous-specific primary health care NBEDS December 2022</w:t>
              </w:r>
            </w:hyperlink>
          </w:p>
          <w:p>
            <w:pPr>
              <w:spacing w:before="0" w:after="0"/>
            </w:pPr>
            <w:r>
              <w:rPr>
                <w:rStyle w:val="row-content"/>
                <w:color w:val="244061"/>
              </w:rPr>
              <w:t xml:space="preserve">       </w:t>
            </w:r>
            <w:hyperlink w:history="true" r:id="R60cf835261a14c90">
              <w:r>
                <w:rPr>
                  <w:rStyle w:val="Hyperlink"/>
                  <w:color w:val="244061"/>
                </w:rPr>
                <w:t xml:space="preserve">Indigenous</w:t>
              </w:r>
            </w:hyperlink>
            <w:r>
              <w:rPr>
                <w:rStyle w:val="row-content"/>
                <w:color w:val="244061"/>
              </w:rPr>
              <w:t xml:space="preserve">, Superseded 18/12/2023</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31/12/2022</w:t>
            </w:r>
            <w:r>
              <w:br/>
            </w:r>
            <w:r>
              <w:rPr>
                <w:rStyle w:val="row-content"/>
                <w:b/>
                <w:i/>
              </w:rPr>
              <w:t xml:space="preserve">Conditional obligation: </w:t>
            </w:r>
          </w:p>
          <w:p>
            <w:r>
              <w:rPr>
                <w:rStyle w:val="row-content"/>
              </w:rPr>
              <w:t xml:space="preserve">Reporting against this data element is conditional on a 'CODE 1 Yes' response to '</w:t>
            </w:r>
            <w:hyperlink w:history="true" r:id="R2cd0468e9153409f">
              <w:r>
                <w:rPr>
                  <w:rStyle w:val="Hyperlink"/>
                </w:rPr>
                <w:t xml:space="preserve">Person—birthweight recorded indicator, yes/no code N</w:t>
              </w:r>
            </w:hyperlink>
            <w:r>
              <w:rPr>
                <w:rStyle w:val="row-content"/>
              </w:rPr>
              <w:t xml:space="preserve">'.</w:t>
            </w:r>
          </w:p>
          <w:p>
            <w:r>
              <w:rPr>
                <w:rStyle w:val="row-content"/>
              </w:rPr>
              <w:t xml:space="preserve">Data are only provided to the AIHW for babies born during the preceding 12 months up to the census date who attended the organisation more than once.</w:t>
            </w:r>
          </w:p>
          <w:p>
            <w:r>
              <w:rPr>
                <w:rStyle w:val="row-content"/>
              </w:rPr>
              <w:t xml:space="preserve">Data are provided to the AIHW for live births.</w:t>
            </w:r>
          </w:p>
          <w:p>
            <w:r>
              <w:br/>
            </w:r>
            <w:r>
              <w:rPr>
                <w:rStyle w:val="row-content"/>
                <w:b/>
                <w:i/>
              </w:rPr>
              <w:t xml:space="preserve">DSS specific information: </w:t>
            </w:r>
          </w:p>
          <w:p>
            <w:r>
              <w:rPr>
                <w:rStyle w:val="row-content"/>
              </w:rPr>
              <w:t xml:space="preserve">In the ISPHC NBEDS, babies do not need to fulfil all the requirements of being an Indigenous regular client, as long as they have a file at the health organisation and attended the organisation more than once.</w:t>
            </w:r>
          </w:p>
          <w:p>
            <w:r>
              <w:rPr>
                <w:rStyle w:val="row-content"/>
              </w:rPr>
              <w:t xml:space="preserve">The birthweight is to be taken from the baby’s client record where available. Where the birthweight is not recorded in the baby’s client record, the mother’s record may be used as a source of birth details.</w:t>
            </w:r>
          </w:p>
          <w:p>
            <w:r>
              <w:rPr>
                <w:rStyle w:val="row-content"/>
              </w:rPr>
              <w:t xml:space="preserve">The birthweight may have been recorded during an appointment or received from sharing client data with other organisations, such as a hospital.</w:t>
            </w:r>
          </w:p>
          <w:p>
            <w:r>
              <w:rPr>
                <w:rStyle w:val="row-content"/>
              </w:rPr>
              <w:t xml:space="preserve">In the ISPHC NBEDS only aggregated data with CODE 1, CODE 2, or CODE 3 are provided to the AIHW.</w:t>
            </w:r>
          </w:p>
          <w:p>
            <w:r>
              <w:br/>
            </w:r>
            <w:r>
              <w:br/>
            </w:r>
            <w:hyperlink w:history="true" r:id="Ra837b7058143481f">
              <w:r>
                <w:rPr>
                  <w:rStyle w:val="Hyperlink"/>
                </w:rPr>
                <w:t xml:space="preserve">Indigenous-specific primary health care NBEDS June 2021</w:t>
              </w:r>
            </w:hyperlink>
          </w:p>
          <w:p>
            <w:pPr>
              <w:spacing w:before="0" w:after="0"/>
            </w:pPr>
            <w:r>
              <w:rPr>
                <w:rStyle w:val="row-content"/>
                <w:color w:val="244061"/>
              </w:rPr>
              <w:t xml:space="preserve">       </w:t>
            </w:r>
            <w:hyperlink w:history="true" r:id="Rf60b4fde59e64313">
              <w:r>
                <w:rPr>
                  <w:rStyle w:val="Hyperlink"/>
                  <w:color w:val="244061"/>
                </w:rPr>
                <w:t xml:space="preserve">Indigenous</w:t>
              </w:r>
            </w:hyperlink>
            <w:r>
              <w:rPr>
                <w:rStyle w:val="row-content"/>
                <w:color w:val="244061"/>
              </w:rPr>
              <w:t xml:space="preserve">, Superseded 06/11/2022</w:t>
            </w:r>
          </w:p>
          <w:p>
            <w:r>
              <w:rPr>
                <w:rStyle w:val="row-content"/>
                <w:b/>
                <w:i/>
              </w:rPr>
              <w:t xml:space="preserve">Implementation start date: </w:t>
            </w:r>
            <w:r>
              <w:rPr>
                <w:rStyle w:val="row-content"/>
              </w:rPr>
              <w:t xml:space="preserve">01/01/2021</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Reporting against this data element is conditional on a 'CODE 1 Yes' response to '</w:t>
            </w:r>
            <w:hyperlink w:history="true" r:id="R2bd490d5ecef4966">
              <w:r>
                <w:rPr>
                  <w:rStyle w:val="Hyperlink"/>
                </w:rPr>
                <w:t xml:space="preserve">Person—birthweight recorded indicator, yes/no code N</w:t>
              </w:r>
            </w:hyperlink>
            <w:r>
              <w:rPr>
                <w:rStyle w:val="row-content"/>
              </w:rPr>
              <w:t xml:space="preserve">'.</w:t>
            </w:r>
          </w:p>
          <w:p>
            <w:r>
              <w:rPr>
                <w:rStyle w:val="row-content"/>
              </w:rPr>
              <w:t xml:space="preserve">Data are only provided to the AIHW for babies born during the preceding 12 months up to the census date who attended the organisation more than once.</w:t>
            </w:r>
          </w:p>
          <w:p>
            <w:r>
              <w:rPr>
                <w:rStyle w:val="row-content"/>
              </w:rPr>
              <w:t xml:space="preserve">Data are provided to the AIHW for </w:t>
            </w:r>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35c09ba1060f4fc8">
              <w:r>
                <w:rPr>
                  <w:rStyle w:val="Hyperlink"/>
                  <w:b/>
                </w:rPr>
                <w:t xml:space="preserve">live births</w:t>
              </w:r>
            </w:hyperlink>
            <w:r>
              <w:rPr>
                <w:rStyle w:val="row-content"/>
              </w:rPr>
              <w:t xml:space="preserve">.</w:t>
            </w:r>
          </w:p>
          <w:p>
            <w:r>
              <w:br/>
            </w:r>
            <w:r>
              <w:rPr>
                <w:rStyle w:val="row-content"/>
                <w:b/>
                <w:i/>
              </w:rPr>
              <w:t xml:space="preserve">DSS specific information: </w:t>
            </w:r>
          </w:p>
          <w:p>
            <w:r>
              <w:rPr>
                <w:rStyle w:val="row-content"/>
              </w:rPr>
              <w:t xml:space="preserve">In the ISPHC NBEDS, babies do not need to fulfil all the requirements of being an </w:t>
            </w:r>
            <w:hyperlink w:tooltip="Indigenous regular client refers to an Indigenous client of an Australian Government Department of Health-funded Indigenous-specific primary health care organisation or maternal and child health program/service that is required to report against the In..." w:history="true" r:id="R5e0fadce018f4e60">
              <w:r>
                <w:rPr>
                  <w:rStyle w:val="Hyperlink"/>
                  <w:b/>
                </w:rPr>
                <w:t xml:space="preserve">Indigenous regular client</w:t>
              </w:r>
            </w:hyperlink>
            <w:r>
              <w:rPr>
                <w:rStyle w:val="row-content"/>
              </w:rPr>
              <w:t xml:space="preserve">, as long as they have a file at the health organisation and attended the organisation more than once.</w:t>
            </w:r>
          </w:p>
          <w:p>
            <w:r>
              <w:rPr>
                <w:rStyle w:val="row-content"/>
              </w:rPr>
              <w:t xml:space="preserve">The birthweight is to be taken from the baby’s client record where available. Where the birthweight is not recorded in the baby’s client record, the mother’s record may be used as a source of birth details.</w:t>
            </w:r>
          </w:p>
          <w:p>
            <w:r>
              <w:rPr>
                <w:rStyle w:val="row-content"/>
              </w:rPr>
              <w:t xml:space="preserve">The birthweight may have been recorded during an appointment or received from sharing client data with other organisations, such as a hospital.</w:t>
            </w:r>
          </w:p>
          <w:p>
            <w:r>
              <w:rPr>
                <w:rStyle w:val="row-content"/>
              </w:rPr>
              <w:t xml:space="preserve">In the ISPHC NBEDS only aggregated data with CODE 1, CODE 2, or CODE 3 are provided to the AIHW.</w:t>
            </w:r>
          </w:p>
          <w:p>
            <w:r>
              <w:br/>
            </w:r>
            <w:r>
              <w:br/>
            </w:r>
            <w:hyperlink w:history="true" r:id="Rcf4656a78271443d">
              <w:r>
                <w:rPr>
                  <w:rStyle w:val="Hyperlink"/>
                </w:rPr>
                <w:t xml:space="preserve">Indigenous-specific primary health care NBEDS June 2022</w:t>
              </w:r>
            </w:hyperlink>
          </w:p>
          <w:p>
            <w:pPr>
              <w:spacing w:before="0" w:after="0"/>
            </w:pPr>
            <w:r>
              <w:rPr>
                <w:rStyle w:val="row-content"/>
                <w:color w:val="244061"/>
              </w:rPr>
              <w:t xml:space="preserve">       </w:t>
            </w:r>
            <w:hyperlink w:history="true" r:id="R69a6547e73094930">
              <w:r>
                <w:rPr>
                  <w:rStyle w:val="Hyperlink"/>
                  <w:color w:val="244061"/>
                </w:rPr>
                <w:t xml:space="preserve">Indigenous</w:t>
              </w:r>
            </w:hyperlink>
            <w:r>
              <w:rPr>
                <w:rStyle w:val="row-content"/>
                <w:color w:val="244061"/>
              </w:rPr>
              <w:t xml:space="preserve">, Superseded 27/08/2023</w:t>
            </w:r>
          </w:p>
          <w:p>
            <w:r>
              <w:rPr>
                <w:rStyle w:val="row-content"/>
                <w:b/>
                <w:i/>
              </w:rPr>
              <w:t xml:space="preserve">Implementation start date: </w:t>
            </w:r>
            <w:r>
              <w:rPr>
                <w:rStyle w:val="row-content"/>
              </w:rPr>
              <w:t xml:space="preserve">01/01/2022</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Reporting against this data element is conditional on a 'CODE 1 Yes' response to '</w:t>
            </w:r>
            <w:hyperlink w:history="true" r:id="Rc2cfbf346a7b44b5">
              <w:r>
                <w:rPr>
                  <w:rStyle w:val="Hyperlink"/>
                </w:rPr>
                <w:t xml:space="preserve">Person—birthweight recorded indicator, yes/no code N</w:t>
              </w:r>
            </w:hyperlink>
            <w:r>
              <w:rPr>
                <w:rStyle w:val="row-content"/>
              </w:rPr>
              <w:t xml:space="preserve">'.</w:t>
            </w:r>
          </w:p>
          <w:p>
            <w:r>
              <w:rPr>
                <w:rStyle w:val="row-content"/>
              </w:rPr>
              <w:t xml:space="preserve">Data are only provided to the AIHW for babies born during the preceding 12 months up to the census date who attended the organisation more than once.</w:t>
            </w:r>
          </w:p>
          <w:p>
            <w:r>
              <w:rPr>
                <w:rStyle w:val="row-content"/>
              </w:rPr>
              <w:t xml:space="preserve">Data are provided to the AIHW for live births.</w:t>
            </w:r>
          </w:p>
          <w:p>
            <w:r>
              <w:br/>
            </w:r>
            <w:r>
              <w:rPr>
                <w:rStyle w:val="row-content"/>
                <w:b/>
                <w:i/>
              </w:rPr>
              <w:t xml:space="preserve">DSS specific information: </w:t>
            </w:r>
          </w:p>
          <w:p>
            <w:r>
              <w:rPr>
                <w:rStyle w:val="row-content"/>
              </w:rPr>
              <w:t xml:space="preserve">In the ISPHC NBEDS, babies do not need to fulfil all the requirements of being an Indigenous regular client, as long as they have a file at the health organisation and attended the organisation more than once.</w:t>
            </w:r>
          </w:p>
          <w:p>
            <w:r>
              <w:rPr>
                <w:rStyle w:val="row-content"/>
              </w:rPr>
              <w:t xml:space="preserve">The birthweight is to be taken from the baby’s client record where available. Where the birthweight is not recorded in the baby’s client record, the mother’s record may be used as a source of birth details.</w:t>
            </w:r>
          </w:p>
          <w:p>
            <w:r>
              <w:rPr>
                <w:rStyle w:val="row-content"/>
              </w:rPr>
              <w:t xml:space="preserve">The birthweight may have been recorded during an appointment or received from sharing client data with other organisations, such as a hospital.</w:t>
            </w:r>
          </w:p>
          <w:p>
            <w:r>
              <w:rPr>
                <w:rStyle w:val="row-content"/>
              </w:rPr>
              <w:t xml:space="preserve">In the ISPHC NBEDS only aggregated data with CODE 1, CODE 2, or CODE 3 are provided to the AIHW.</w:t>
            </w:r>
          </w:p>
          <w:p>
            <w:r>
              <w:br/>
            </w:r>
            <w:r>
              <w:br/>
            </w:r>
            <w:hyperlink w:history="true" r:id="R6968a5dcba244a01">
              <w:r>
                <w:rPr>
                  <w:rStyle w:val="Hyperlink"/>
                </w:rPr>
                <w:t xml:space="preserve">Indigenous-specific primary health care NBEDS June 2023</w:t>
              </w:r>
            </w:hyperlink>
          </w:p>
          <w:p>
            <w:pPr>
              <w:spacing w:before="0" w:after="0"/>
            </w:pPr>
            <w:r>
              <w:rPr>
                <w:rStyle w:val="row-content"/>
                <w:color w:val="244061"/>
              </w:rPr>
              <w:t xml:space="preserve">       </w:t>
            </w:r>
            <w:hyperlink w:history="true" r:id="Rdd53e16a6de3447c">
              <w:r>
                <w:rPr>
                  <w:rStyle w:val="Hyperlink"/>
                  <w:color w:val="244061"/>
                </w:rPr>
                <w:t xml:space="preserve">Indigenous</w:t>
              </w:r>
            </w:hyperlink>
            <w:r>
              <w:rPr>
                <w:rStyle w:val="row-content"/>
                <w:color w:val="244061"/>
              </w:rPr>
              <w:t xml:space="preserve">, Superseded 25/02/2024</w:t>
            </w:r>
          </w:p>
          <w:p>
            <w:r>
              <w:rPr>
                <w:rStyle w:val="row-content"/>
                <w:b/>
                <w:i/>
              </w:rPr>
              <w:t xml:space="preserve">Implementation start date: </w:t>
            </w:r>
            <w:r>
              <w:rPr>
                <w:rStyle w:val="row-content"/>
              </w:rPr>
              <w:t xml:space="preserve">01/01/2023</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Reporting against this data element is conditional on a 'CODE 1 Yes' response to '</w:t>
            </w:r>
            <w:hyperlink w:history="true" r:id="R8a26623847ef4610">
              <w:r>
                <w:rPr>
                  <w:rStyle w:val="Hyperlink"/>
                </w:rPr>
                <w:t xml:space="preserve">Person—birthweight recorded indicator, yes/no code N</w:t>
              </w:r>
            </w:hyperlink>
            <w:r>
              <w:rPr>
                <w:rStyle w:val="row-content"/>
              </w:rPr>
              <w:t xml:space="preserve">'.</w:t>
            </w:r>
          </w:p>
          <w:p>
            <w:r>
              <w:rPr>
                <w:rStyle w:val="row-content"/>
              </w:rPr>
              <w:t xml:space="preserve">Data are only provided to the AIHW for babies born during the preceding 12 months up to the census date who attended the organisation more than once.</w:t>
            </w:r>
          </w:p>
          <w:p>
            <w:r>
              <w:rPr>
                <w:rStyle w:val="row-content"/>
              </w:rPr>
              <w:t xml:space="preserve">Data are provided to the AIHW for live births.</w:t>
            </w:r>
          </w:p>
          <w:p>
            <w:r>
              <w:br/>
            </w:r>
            <w:r>
              <w:rPr>
                <w:rStyle w:val="row-content"/>
                <w:b/>
                <w:i/>
              </w:rPr>
              <w:t xml:space="preserve">DSS specific information: </w:t>
            </w:r>
          </w:p>
          <w:p>
            <w:r>
              <w:rPr>
                <w:rStyle w:val="row-content"/>
              </w:rPr>
              <w:t xml:space="preserve">In the ISPHC NBEDS only aggregated data with CODE 1, CODE 2, or CODE 3 are provided to the AIHW.</w:t>
            </w:r>
          </w:p>
          <w:p>
            <w:r>
              <w:rPr>
                <w:rStyle w:val="row-content"/>
              </w:rPr>
              <w:t xml:space="preserve">In the ISPHC NBEDS, babies do not need to fulfil all the requirements of being an Indigenous regular client, as long as they have a file at the health organisation and attended the organisation more than once.</w:t>
            </w:r>
          </w:p>
          <w:p>
            <w:r>
              <w:rPr>
                <w:rStyle w:val="row-content"/>
              </w:rPr>
              <w:t xml:space="preserve">The birthweight is to be taken from the baby’s client record where available. Where the birthweight is not recorded in the baby’s client record, the mother’s record may be used as a source of birth details.</w:t>
            </w:r>
          </w:p>
          <w:p>
            <w:r>
              <w:rPr>
                <w:rStyle w:val="row-content"/>
              </w:rPr>
              <w:t xml:space="preserve">The birthweight may have been recorded during an appointment or received from sharing client data with other organisations, such as a hospital.</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5af923e31bdc42e6">
              <w:r>
                <w:rPr>
                  <w:rStyle w:val="Hyperlink"/>
                </w:rPr>
                <w:t xml:space="preserve">First Nations-specific primary health care: PI02a-Number of First Nations babies born within the previous 12 months who attended the organisation more than once, and who have a birthweight result within a specified category, June 2024</w:t>
              </w:r>
            </w:hyperlink>
          </w:p>
          <w:p>
            <w:pPr>
              <w:spacing w:before="0" w:after="0"/>
            </w:pPr>
            <w:r>
              <w:rPr>
                <w:rStyle w:val="row-content"/>
                <w:color w:val="244061"/>
              </w:rPr>
              <w:t xml:space="preserve">       </w:t>
            </w:r>
            <w:hyperlink w:history="true" r:id="R6310d54e2bbf4c7f">
              <w:r>
                <w:rPr>
                  <w:rStyle w:val="Hyperlink"/>
                  <w:color w:val="244061"/>
                </w:rPr>
                <w:t xml:space="preserve">Indigenous</w:t>
              </w:r>
            </w:hyperlink>
            <w:r>
              <w:rPr>
                <w:rStyle w:val="row-content"/>
                <w:color w:val="244061"/>
              </w:rPr>
              <w:t xml:space="preserve">, Qualified 17/04/2024</w:t>
            </w:r>
          </w:p>
          <w:p>
            <w:r>
              <w:br/>
            </w:r>
            <w:hyperlink w:history="true" r:id="R3d2d088d18534fea">
              <w:r>
                <w:rPr>
                  <w:rStyle w:val="Hyperlink"/>
                </w:rPr>
                <w:t xml:space="preserve">First Nations-specific primary health care: PI02b-Proportion of First Nations babies born within the previous 12 months who attended the organisation more than once, and who have a birthweight result within a specified category, June 2024</w:t>
              </w:r>
            </w:hyperlink>
          </w:p>
          <w:p>
            <w:pPr>
              <w:spacing w:before="0" w:after="0"/>
            </w:pPr>
            <w:r>
              <w:rPr>
                <w:rStyle w:val="row-content"/>
                <w:color w:val="244061"/>
              </w:rPr>
              <w:t xml:space="preserve">       </w:t>
            </w:r>
            <w:hyperlink w:history="true" r:id="Rc292ff5369cb42e6">
              <w:r>
                <w:rPr>
                  <w:rStyle w:val="Hyperlink"/>
                  <w:color w:val="244061"/>
                </w:rPr>
                <w:t xml:space="preserve">Indigenous</w:t>
              </w:r>
            </w:hyperlink>
            <w:r>
              <w:rPr>
                <w:rStyle w:val="row-content"/>
                <w:color w:val="244061"/>
              </w:rPr>
              <w:t xml:space="preserve">, Qualified 17/04/2024</w:t>
            </w:r>
          </w:p>
          <w:p>
            <w:r>
              <w:br/>
            </w:r>
          </w:p>
        </w:tc>
      </w:tr>
    </w:tbl>
    <w:p/>
    <w:tbl>
      <w:tblPr>
        <w:tblStyle w:val="TableGrid"/>
        <w:tblW w:w="0" w:type="auto"/>
      </w:tblPr>
    </w:tbl>
    <w:p>
      <w:r>
        <w:br/>
      </w:r>
    </w:p>
    <w:sectPr>
      <w:footerReference xmlns:r="http://schemas.openxmlformats.org/officeDocument/2006/relationships" w:type="default" r:id="Rd3ef7bc4b09f48d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742849</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afaeb6636d8400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3ef7bc4b09f48db" /><Relationship Type="http://schemas.openxmlformats.org/officeDocument/2006/relationships/header" Target="/word/header1.xml" Id="R4b51516815ac4588" /><Relationship Type="http://schemas.openxmlformats.org/officeDocument/2006/relationships/settings" Target="/word/settings.xml" Id="R727703e39c7b484e" /><Relationship Type="http://schemas.openxmlformats.org/officeDocument/2006/relationships/styles" Target="/word/styles.xml" Id="R7137975e5a0241e5" /><Relationship Type="http://schemas.openxmlformats.org/officeDocument/2006/relationships/hyperlink" Target="https://meteor.aihw.gov.au/RegistrationAuthority/6" TargetMode="External" Id="R86062157a743460e" /><Relationship Type="http://schemas.openxmlformats.org/officeDocument/2006/relationships/hyperlink" Target="https://meteor.aihw.gov.au/content/733187" TargetMode="External" Id="Rb0494891e93a492f" /><Relationship Type="http://schemas.openxmlformats.org/officeDocument/2006/relationships/hyperlink" Target="https://meteor.aihw.gov.au/content/733271" TargetMode="External" Id="R8a59cbb0a3c640bd" /><Relationship Type="http://schemas.openxmlformats.org/officeDocument/2006/relationships/hyperlink" Target="https://meteor.aihw.gov.au/content/733408" TargetMode="External" Id="Rab04c0b403e84692" /><Relationship Type="http://schemas.openxmlformats.org/officeDocument/2006/relationships/hyperlink" Target="https://meteor.aihw.gov.au/RegistrationAuthority/12" TargetMode="External" Id="R4f7f69ff4fee4ce7" /><Relationship Type="http://schemas.openxmlformats.org/officeDocument/2006/relationships/hyperlink" Target="https://meteor.aihw.gov.au/RegistrationAuthority/6" TargetMode="External" Id="R1ce7278460694aa5" /><Relationship Type="http://schemas.openxmlformats.org/officeDocument/2006/relationships/hyperlink" Target="https://meteor.aihw.gov.au/RegistrationAuthority/15" TargetMode="External" Id="Rd24a26cbc0ea412a" /><Relationship Type="http://schemas.openxmlformats.org/officeDocument/2006/relationships/hyperlink" Target="https://meteor.aihw.gov.au/content/733187" TargetMode="External" Id="R66372ce8ebbe4e1e" /><Relationship Type="http://schemas.openxmlformats.org/officeDocument/2006/relationships/hyperlink" Target="https://meteor.aihw.gov.au/content/733271" TargetMode="External" Id="R6cf08cc3beda489a" /><Relationship Type="http://schemas.openxmlformats.org/officeDocument/2006/relationships/hyperlink" Target="https://meteor.aihw.gov.au/content/733312" TargetMode="External" Id="R05fd249975e3404d" /><Relationship Type="http://schemas.openxmlformats.org/officeDocument/2006/relationships/hyperlink" Target="https://meteor.aihw.gov.au/content/733405" TargetMode="External" Id="Rfc7170e469d1475b" /><Relationship Type="http://schemas.openxmlformats.org/officeDocument/2006/relationships/hyperlink" Target="https://meteor.aihw.gov.au/content/459935" TargetMode="External" Id="R4c452220872a44e1" /><Relationship Type="http://schemas.openxmlformats.org/officeDocument/2006/relationships/hyperlink" Target="https://meteor.aihw.gov.au/RegistrationAuthority/12" TargetMode="External" Id="R27e1109592d847dc" /><Relationship Type="http://schemas.openxmlformats.org/officeDocument/2006/relationships/hyperlink" Target="https://meteor.aihw.gov.au/RegistrationAuthority/6" TargetMode="External" Id="R3cfcbb279b914317" /><Relationship Type="http://schemas.openxmlformats.org/officeDocument/2006/relationships/hyperlink" Target="https://meteor.aihw.gov.au/content/733187" TargetMode="External" Id="Rd6014628d1894ebd" /><Relationship Type="http://schemas.openxmlformats.org/officeDocument/2006/relationships/hyperlink" Target="https://meteor.aihw.gov.au/content/733258" TargetMode="External" Id="Rea635229bdae40d1" /><Relationship Type="http://schemas.openxmlformats.org/officeDocument/2006/relationships/hyperlink" Target="https://meteor.aihw.gov.au/content/709560" TargetMode="External" Id="R9e8325369b83483f" /><Relationship Type="http://schemas.openxmlformats.org/officeDocument/2006/relationships/hyperlink" Target="https://meteor.aihw.gov.au/RegistrationAuthority/12" TargetMode="External" Id="R663dd9cf17074758" /><Relationship Type="http://schemas.openxmlformats.org/officeDocument/2006/relationships/hyperlink" Target="https://meteor.aihw.gov.au/RegistrationAuthority/6" TargetMode="External" Id="Rb9c9b9c3d5dd4ddd" /><Relationship Type="http://schemas.openxmlformats.org/officeDocument/2006/relationships/hyperlink" Target="https://meteor.aihw.gov.au/content/787920" TargetMode="External" Id="R61a60e130a2c4a29" /><Relationship Type="http://schemas.openxmlformats.org/officeDocument/2006/relationships/hyperlink" Target="https://meteor.aihw.gov.au/RegistrationAuthority/6" TargetMode="External" Id="R41a5aef0f5344e7f" /><Relationship Type="http://schemas.openxmlformats.org/officeDocument/2006/relationships/hyperlink" Target="https://meteor.aihw.gov.au/content/709571" TargetMode="External" Id="R579fe82f27e548f4" /><Relationship Type="http://schemas.openxmlformats.org/officeDocument/2006/relationships/hyperlink" Target="https://meteor.aihw.gov.au/content/789146" TargetMode="External" Id="R668610f667064211" /><Relationship Type="http://schemas.openxmlformats.org/officeDocument/2006/relationships/hyperlink" Target="https://meteor.aihw.gov.au/RegistrationAuthority/6" TargetMode="External" Id="R28224846d93848e6" /><Relationship Type="http://schemas.openxmlformats.org/officeDocument/2006/relationships/hyperlink" Target="https://meteor.aihw.gov.au/content/709571" TargetMode="External" Id="R546bda9541674815" /><Relationship Type="http://schemas.openxmlformats.org/officeDocument/2006/relationships/hyperlink" Target="https://meteor.aihw.gov.au/content/738532" TargetMode="External" Id="R90a94dcbd1a241b3" /><Relationship Type="http://schemas.openxmlformats.org/officeDocument/2006/relationships/hyperlink" Target="https://meteor.aihw.gov.au/RegistrationAuthority/6" TargetMode="External" Id="Rb29a964a19424615" /><Relationship Type="http://schemas.openxmlformats.org/officeDocument/2006/relationships/hyperlink" Target="https://meteor.aihw.gov.au/content/709571" TargetMode="External" Id="Rdd0cabf2e24a4d60" /><Relationship Type="http://schemas.openxmlformats.org/officeDocument/2006/relationships/hyperlink" Target="https://meteor.aihw.gov.au/content/732874" TargetMode="External" Id="R4a3575e8c7b949e3" /><Relationship Type="http://schemas.openxmlformats.org/officeDocument/2006/relationships/hyperlink" Target="https://meteor.aihw.gov.au/content/733187" TargetMode="External" Id="R6d0586ee23e4463a" /><Relationship Type="http://schemas.openxmlformats.org/officeDocument/2006/relationships/hyperlink" Target="https://meteor.aihw.gov.au/content/737993" TargetMode="External" Id="R79abbcdaf92944b3" /><Relationship Type="http://schemas.openxmlformats.org/officeDocument/2006/relationships/hyperlink" Target="https://meteor.aihw.gov.au/content/762318" TargetMode="External" Id="R214e03e4af7f407c" /><Relationship Type="http://schemas.openxmlformats.org/officeDocument/2006/relationships/hyperlink" Target="https://meteor.aihw.gov.au/RegistrationAuthority/6" TargetMode="External" Id="R2f0866aff0c64205" /><Relationship Type="http://schemas.openxmlformats.org/officeDocument/2006/relationships/hyperlink" Target="https://meteor.aihw.gov.au/content/709571" TargetMode="External" Id="Rf49726c2314f4411" /><Relationship Type="http://schemas.openxmlformats.org/officeDocument/2006/relationships/hyperlink" Target="https://meteor.aihw.gov.au/content/733187" TargetMode="External" Id="R4352041e6f3b479f" /><Relationship Type="http://schemas.openxmlformats.org/officeDocument/2006/relationships/hyperlink" Target="https://meteor.aihw.gov.au/content/755097" TargetMode="External" Id="R1048c677387449f7" /><Relationship Type="http://schemas.openxmlformats.org/officeDocument/2006/relationships/hyperlink" Target="https://meteor.aihw.gov.au/content/779011" TargetMode="External" Id="R4f9feb4a49f04290" /><Relationship Type="http://schemas.openxmlformats.org/officeDocument/2006/relationships/hyperlink" Target="https://meteor.aihw.gov.au/RegistrationAuthority/6" TargetMode="External" Id="R60cf835261a14c90" /><Relationship Type="http://schemas.openxmlformats.org/officeDocument/2006/relationships/hyperlink" Target="https://meteor.aihw.gov.au/content/709571" TargetMode="External" Id="R2cd0468e9153409f" /><Relationship Type="http://schemas.openxmlformats.org/officeDocument/2006/relationships/hyperlink" Target="https://meteor.aihw.gov.au/content/747374" TargetMode="External" Id="Ra837b7058143481f" /><Relationship Type="http://schemas.openxmlformats.org/officeDocument/2006/relationships/hyperlink" Target="https://meteor.aihw.gov.au/RegistrationAuthority/6" TargetMode="External" Id="Rf60b4fde59e64313" /><Relationship Type="http://schemas.openxmlformats.org/officeDocument/2006/relationships/hyperlink" Target="https://meteor.aihw.gov.au/content/709571" TargetMode="External" Id="R2bd490d5ecef4966" /><Relationship Type="http://schemas.openxmlformats.org/officeDocument/2006/relationships/hyperlink" Target="https://meteor.aihw.gov.au/content/733187" TargetMode="External" Id="R35c09ba1060f4fc8" /><Relationship Type="http://schemas.openxmlformats.org/officeDocument/2006/relationships/hyperlink" Target="https://meteor.aihw.gov.au/content/755097" TargetMode="External" Id="R5e0fadce018f4e60" /><Relationship Type="http://schemas.openxmlformats.org/officeDocument/2006/relationships/hyperlink" Target="https://meteor.aihw.gov.au/content/770355" TargetMode="External" Id="Rcf4656a78271443d" /><Relationship Type="http://schemas.openxmlformats.org/officeDocument/2006/relationships/hyperlink" Target="https://meteor.aihw.gov.au/RegistrationAuthority/6" TargetMode="External" Id="R69a6547e73094930" /><Relationship Type="http://schemas.openxmlformats.org/officeDocument/2006/relationships/hyperlink" Target="https://meteor.aihw.gov.au/content/709571" TargetMode="External" Id="Rc2cfbf346a7b44b5" /><Relationship Type="http://schemas.openxmlformats.org/officeDocument/2006/relationships/hyperlink" Target="https://meteor.aihw.gov.au/content/782621" TargetMode="External" Id="R6968a5dcba244a01" /><Relationship Type="http://schemas.openxmlformats.org/officeDocument/2006/relationships/hyperlink" Target="https://meteor.aihw.gov.au/RegistrationAuthority/6" TargetMode="External" Id="Rdd53e16a6de3447c" /><Relationship Type="http://schemas.openxmlformats.org/officeDocument/2006/relationships/hyperlink" Target="https://meteor.aihw.gov.au/content/709571" TargetMode="External" Id="R8a26623847ef4610" /><Relationship Type="http://schemas.openxmlformats.org/officeDocument/2006/relationships/hyperlink" Target="https://meteor.aihw.gov.au/content/789165" TargetMode="External" Id="R5af923e31bdc42e6" /><Relationship Type="http://schemas.openxmlformats.org/officeDocument/2006/relationships/hyperlink" Target="https://meteor.aihw.gov.au/RegistrationAuthority/6" TargetMode="External" Id="R6310d54e2bbf4c7f" /><Relationship Type="http://schemas.openxmlformats.org/officeDocument/2006/relationships/hyperlink" Target="https://meteor.aihw.gov.au/content/789167" TargetMode="External" Id="R3d2d088d18534fea" /><Relationship Type="http://schemas.openxmlformats.org/officeDocument/2006/relationships/hyperlink" Target="https://meteor.aihw.gov.au/RegistrationAuthority/6" TargetMode="External" Id="Rc292ff5369cb42e6" /></Relationships>
</file>

<file path=word/_rels/header1.xml.rels>&#65279;<?xml version="1.0" encoding="utf-8"?><Relationships xmlns="http://schemas.openxmlformats.org/package/2006/relationships"><Relationship Type="http://schemas.openxmlformats.org/officeDocument/2006/relationships/image" Target="/media/image.png" Id="R1afaeb6636d84009" /></Relationships>
</file>