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bf260a60e941d1"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2019–20: National Residential Mental Health Care Database, 2021;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2019–20: National Residential Mental Health Care Database, 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fa914eabf34961">
              <w:r>
                <w:rPr>
                  <w:rStyle w:val="Hyperlink"/>
                  <w:color w:val="244061"/>
                </w:rPr>
                <w:t xml:space="preserve">AIHW Data Quality Statements</w:t>
              </w:r>
            </w:hyperlink>
            <w:r>
              <w:rPr>
                <w:rStyle w:val="row-content"/>
                <w:color w:val="244061"/>
              </w:rPr>
              <w:t xml:space="preserve">, Superseded 10/11/2022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should be interpreted with caution due to the varying quality of Indigenous identification.</w:t>
            </w:r>
          </w:p>
          <w:p>
            <w:pPr>
              <w:spacing w:after="160"/>
            </w:pPr>
            <w:r>
              <w:rPr>
                <w:rStyle w:val="row-content-rich-text"/>
                <w:b/>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w:t>
            </w:r>
            <w:hyperlink w:history="true" r:id="Rba80e61741b14c99">
              <w:r>
                <w:rPr>
                  <w:rStyle w:val="Hyperlink"/>
                </w:rPr>
                <w:t xml:space="preserve">link</w:t>
              </w:r>
            </w:hyperlink>
            <w:r>
              <w:rPr>
                <w:rStyle w:val="row-content-rich-text"/>
              </w:rPr>
              <w:t xml:space="preserve">). The NRMHCD includes data for each year from 2004–05 to 2019–20.</w:t>
            </w:r>
          </w:p>
          <w:p>
            <w:pPr>
              <w:spacing w:after="160"/>
            </w:pPr>
            <w:r>
              <w:rPr>
                <w:rStyle w:val="row-content-rich-text"/>
              </w:rPr>
              <w:t xml:space="preserve">Data collated include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spacing w:after="160"/>
            </w:pPr>
            <w:r>
              <w:rPr>
                <w:rStyle w:val="row-content-rich-text"/>
              </w:rPr>
              <w:t xml:space="preserve">The RMHC NMDS is associated with the Mental health establishments (MHE) NMDS.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c058104ad17447bc">
              <w:r>
                <w:rPr>
                  <w:rStyle w:val="Hyperlink"/>
                </w:rPr>
                <w:t xml:space="preserve">Australian Institute of Health and Welfare Act 1987</w:t>
              </w:r>
            </w:hyperlink>
            <w:r>
              <w:rPr>
                <w:rStyle w:val="row-content-rich-text"/>
              </w:rPr>
              <w:t xml:space="preserve"> (AIHW Act), governed by a </w:t>
            </w:r>
            <w:hyperlink w:history="true" r:id="Rfafcd7f74b0b46b9">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6343e1965b9047fa">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1b371fa4b7f74e9c">
              <w:r>
                <w:rPr>
                  <w:rStyle w:val="Hyperlink"/>
                </w:rPr>
                <w:t xml:space="preserve">www.aihw.gov.au/about-us</w:t>
              </w:r>
            </w:hyperlink>
            <w:r>
              <w:rPr>
                <w:rStyle w:val="row-content-rich-text"/>
              </w:rPr>
              <w:t xml:space="preserve">, which includes details about the AIHW’s governance (</w:t>
            </w:r>
            <w:hyperlink w:history="true" r:id="Rf15d3a7af3414a8d">
              <w:r>
                <w:rPr>
                  <w:rStyle w:val="Hyperlink"/>
                </w:rPr>
                <w:t xml:space="preserve">www.aihw.gov.au/about-us/our-governance</w:t>
              </w:r>
            </w:hyperlink>
            <w:r>
              <w:rPr>
                <w:rStyle w:val="row-content-rich-text"/>
              </w:rPr>
              <w:t xml:space="preserve">) and vision and strategic goals (</w:t>
            </w:r>
            <w:hyperlink w:history="true" r:id="Re6c2db8b94e94788">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42d1a5f869414e05">
              <w:r>
                <w:rPr>
                  <w:rStyle w:val="Hyperlink"/>
                </w:rPr>
                <w:t xml:space="preserve">link</w:t>
              </w:r>
            </w:hyperlink>
            <w:r>
              <w:rPr>
                <w:rStyle w:val="row-content-rich-text"/>
              </w:rPr>
              <w:t xml:space="preserve">), as specified by the RMHC NMDS (see ‘Interpretability’ section below).</w:t>
            </w:r>
          </w:p>
          <w:p>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hyperlink w:history="true" r:id="R35426040e16a4648">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were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2019–20, that is, residential episodes occurring between 1 July 2019 and 30 June 2020. Data for the 2019–20 reference period were supplied to the AIHW in January 2021.</w:t>
            </w:r>
          </w:p>
          <w:p>
            <w:pPr/>
            <w:r>
              <w:rPr>
                <w:rStyle w:val="row-content-rich-text"/>
              </w:rPr>
              <w:t xml:space="preserve">The AIHW publishes data from the NRMHCD in</w:t>
            </w:r>
            <w:hyperlink w:history="true" r:id="R6b5beb8d916a4a7d">
              <w:r>
                <w:rPr>
                  <w:rStyle w:val="Hyperlink"/>
                  <w:i/>
                </w:rPr>
                <w:t xml:space="preserve"> Mental health services in Australia</w:t>
              </w:r>
            </w:hyperlink>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cef1e0bbb0474fea">
              <w:r>
                <w:rPr>
                  <w:rStyle w:val="Hyperlink"/>
                </w:rPr>
                <w:t xml:space="preserve">http://www.aihw.gov.au/mhsa/</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w:t>
            </w:r>
          </w:p>
          <w:p>
            <w:pPr>
              <w:spacing w:after="160"/>
            </w:pPr>
            <w:r>
              <w:rPr>
                <w:rStyle w:val="row-content-rich-text"/>
              </w:rPr>
              <w:t xml:space="preserve">METeOR can be accessed on the AIHW website:</w:t>
            </w:r>
          </w:p>
          <w:p>
            <w:hyperlink w:history="true" r:id="R05625419982a4079">
              <w:r>
                <w:rPr>
                  <w:rStyle w:val="Hyperlink"/>
                </w:rPr>
                <w:t xml:space="preserve">/content/index.phtml/itemId/181162</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337a34a21aca491f">
              <w:r>
                <w:rPr>
                  <w:rStyle w:val="Hyperlink"/>
                </w:rPr>
                <w:t xml:space="preserve">Aged Care Act 1997 </w:t>
              </w:r>
            </w:hyperlink>
            <w:r>
              <w:rPr>
                <w:rStyle w:val="row-content-rich-text"/>
              </w:rPr>
              <w:t xml:space="preserve">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(for example, through the formal start of the residential stay or the start of a new reference period (that is, 1 July)) and the end of residential care (for example, the formal end of residential care,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Data from non-government services and services with non-24-hour staffing are reported to the NRMHCD optionally by individual jurisdictions. Therefore, comparisons between jurisdictions should be made with caution. For the 2019–2020 data, of the 98 services included in the collection, all but 12 of the services reported had mental health trained staff on-site 24 hours a day. Data from 14 non-government services were included in the 2019–20 collection.</w:t>
            </w:r>
          </w:p>
          <w:p>
            <w:pPr>
              <w:spacing w:after="160"/>
            </w:pPr>
            <w:r>
              <w:rPr>
                <w:rStyle w:val="row-content-rich-text"/>
                <w:i/>
              </w:rPr>
              <w:t xml:space="preserve">Indigenous status</w:t>
            </w:r>
          </w:p>
          <w:p>
            <w:pPr>
              <w:spacing w:after="160"/>
            </w:pPr>
            <w:r>
              <w:rPr>
                <w:rStyle w:val="row-content-rich-text"/>
              </w:rPr>
              <w:t xml:space="preserve">Indigenous status is missing for 3.0% of episodes in the 2019–20 NRMHCD.</w:t>
            </w:r>
          </w:p>
          <w:p>
            <w:pPr>
              <w:spacing w:after="160"/>
            </w:pPr>
            <w:r>
              <w:rPr>
                <w:rStyle w:val="row-content-rich-text"/>
              </w:rPr>
              <w:t xml:space="preserve">States and territories provided information on the quality of the Indigenous status data for 2019–20 as follows:</w:t>
            </w:r>
          </w:p>
          <w:p>
            <w:pPr>
              <w:spacing w:after="160"/>
            </w:pPr>
            <w:r>
              <w:rPr>
                <w:rStyle w:val="row-content-rich-text"/>
              </w:rPr>
              <w:t xml:space="preserve">·         All states and territories considered the quality of their Indigenous status data to be acceptable.</w:t>
            </w:r>
          </w:p>
          <w:p>
            <w:pPr>
              <w:spacing w:after="160"/>
            </w:pPr>
            <w:r>
              <w:rPr>
                <w:rStyle w:val="row-content-rich-text"/>
              </w:rPr>
              <w:t xml:space="preserve"> ·        For 2019–20, South Australia reported that the quality of Indigenous status data was acceptable, but that further investigation and follow-up was required for services with high rates of unknown/not stated Indigenous status.</w:t>
            </w:r>
          </w:p>
          <w:p>
            <w:pPr>
              <w:spacing w:after="160"/>
            </w:pPr>
            <w:r>
              <w:rPr>
                <w:rStyle w:val="row-content-rich-text"/>
              </w:rPr>
              <w:t xml:space="preserve">Based on the National best practice guidelines for collecting Indigenous status in health data sets (AIHW 2010), Western Australia implemented a validation system from 1 January 2019 reducing errors in the reporting of Indigenous status.</w:t>
            </w:r>
          </w:p>
          <w:p>
            <w:pPr>
              <w:spacing w:after="160"/>
            </w:pPr>
            <w:r>
              <w:rPr>
                <w:rStyle w:val="row-content-rich-text"/>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may be relevant if significant numbers of one jurisdiction's residents are treated in another jurisdiction, such as cross-border patients in the ACT.</w:t>
            </w:r>
          </w:p>
          <w:p>
            <w:pPr>
              <w:spacing w:after="160"/>
            </w:pPr>
            <w:r>
              <w:rPr>
                <w:rStyle w:val="row-content-rich-text"/>
                <w:i/>
              </w:rPr>
              <w:t xml:space="preserve">Mental health legal status</w:t>
            </w:r>
          </w:p>
          <w:p>
            <w:pPr>
              <w:spacing w:after="160"/>
            </w:pPr>
            <w:r>
              <w:rPr>
                <w:rStyle w:val="row-content-rich-text"/>
              </w:rPr>
              <w:t xml:space="preserve">Data on involuntary treatment of consumers is collected in the RMHCD,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w:t>
            </w:r>
          </w:p>
          <w:p>
            <w:pPr>
              <w:spacing w:after="160"/>
            </w:pPr>
            <w:r>
              <w:rPr>
                <w:rStyle w:val="row-content-rich-text"/>
              </w:rPr>
              <w:t xml:space="preserve">Legislation governing the use of treatment orders differs between jurisdictions and comparisons should be made with caution.</w:t>
            </w:r>
          </w:p>
          <w:p>
            <w:pPr>
              <w:spacing w:after="160"/>
            </w:pPr>
            <w:r>
              <w:rPr>
                <w:rStyle w:val="row-content-rich-text"/>
                <w:i/>
              </w:rPr>
              <w:t xml:space="preserve">Referral type</w:t>
            </w:r>
          </w:p>
          <w:p>
            <w:pPr/>
            <w:r>
              <w:rPr>
                <w:rStyle w:val="row-content-rich-text"/>
              </w:rPr>
              <w:t xml:space="preserve">Among the jurisdictions, quality of referral type data varies. Referral type was missing or not reported for 0.7% of residential mental health care episodes in 2019–20.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Prior to the 2012–13 collection period, residents who made use of services from multiple providers were counted separately each time, leading to a likely overestimation of residents. For those jurisdictions that can uniquely identify patients across the jurisdiction, patients who made use of services from multiple providers are now only counted once. For the 2019–20 collection period, three jurisdictions could uniquely identify patients across the jurisdiction so comparisons between jurisdictions should be made with caution.</w:t>
            </w:r>
          </w:p>
          <w:p>
            <w:pPr>
              <w:spacing w:after="160"/>
            </w:pPr>
            <w:r>
              <w:rPr>
                <w:rStyle w:val="row-content-rich-text"/>
              </w:rPr>
              <w:t xml:space="preserve">All reported states and territories reported 100% data coverage for in scope services in 2019–20.</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NRMHCD may be affected by the variability in collection and coding practices across jurisdictions. All jurisdictions used ICD-10-AM for classification. However, there are differences among states and territories in the edition used for classification as follows:</w:t>
            </w:r>
          </w:p>
          <w:p>
            <w:pPr>
              <w:pStyle w:val="ListParagraph"/>
              <w:numPr>
                <w:ilvl w:val="0"/>
                <w:numId w:val="3"/>
              </w:numPr>
            </w:pPr>
            <w:r>
              <w:rPr>
                <w:rStyle w:val="row-content-rich-text"/>
              </w:rPr>
              <w:t xml:space="preserve">South Australia, New South Wales, and Queensland provided principal diagnosis data based on the ICD-10-AM 11</w:t>
            </w:r>
            <w:r>
              <w:rPr>
                <w:rStyle w:val="row-content-rich-text"/>
                <w:vertAlign w:val="superscript"/>
              </w:rPr>
              <w:t xml:space="preserve">th</w:t>
            </w:r>
            <w:r>
              <w:rPr>
                <w:rStyle w:val="row-content-rich-text"/>
              </w:rPr>
              <w:t xml:space="preserve"> Edition, consistent with the specifications.</w:t>
            </w:r>
          </w:p>
          <w:p>
            <w:pPr>
              <w:pStyle w:val="ListParagraph"/>
              <w:numPr>
                <w:ilvl w:val="0"/>
                <w:numId w:val="3"/>
              </w:numPr>
            </w:pPr>
            <w:r>
              <w:rPr>
                <w:rStyle w:val="row-content-rich-text"/>
              </w:rPr>
              <w:t xml:space="preserve">Tasmania reported using ICD-10-AM 11</w:t>
            </w:r>
            <w:r>
              <w:rPr>
                <w:rStyle w:val="row-content-rich-text"/>
                <w:vertAlign w:val="superscript"/>
              </w:rPr>
              <w:t xml:space="preserve">th</w:t>
            </w:r>
            <w:r>
              <w:rPr>
                <w:rStyle w:val="row-content-rich-text"/>
              </w:rPr>
              <w:t xml:space="preserve"> Edition where possible.</w:t>
            </w:r>
          </w:p>
          <w:p>
            <w:pPr>
              <w:pStyle w:val="ListParagraph"/>
              <w:numPr>
                <w:ilvl w:val="0"/>
                <w:numId w:val="3"/>
              </w:numPr>
            </w:pPr>
            <w:r>
              <w:rPr>
                <w:rStyle w:val="row-content-rich-text"/>
              </w:rPr>
              <w:t xml:space="preserve">The Northern Territory and Victoria used ICD-10-AM 10</w:t>
            </w:r>
            <w:r>
              <w:rPr>
                <w:rStyle w:val="row-content-rich-text"/>
                <w:vertAlign w:val="superscript"/>
              </w:rPr>
              <w:t xml:space="preserve">th</w:t>
            </w:r>
            <w:r>
              <w:rPr>
                <w:rStyle w:val="row-content-rich-text"/>
              </w:rPr>
              <w:t xml:space="preserve"> Edition.</w:t>
            </w:r>
          </w:p>
          <w:p>
            <w:pPr>
              <w:pStyle w:val="ListParagraph"/>
              <w:numPr>
                <w:ilvl w:val="0"/>
                <w:numId w:val="3"/>
              </w:numPr>
            </w:pPr>
            <w:r>
              <w:rPr>
                <w:rStyle w:val="row-content-rich-text"/>
              </w:rPr>
              <w:t xml:space="preserve">Western Australia provided principle diagnosis data based primarily on the ICD-10-AM 10</w:t>
            </w:r>
            <w:r>
              <w:rPr>
                <w:rStyle w:val="row-content-rich-text"/>
                <w:vertAlign w:val="superscript"/>
              </w:rPr>
              <w:t xml:space="preserve">th</w:t>
            </w:r>
            <w:r>
              <w:rPr>
                <w:rStyle w:val="row-content-rich-text"/>
              </w:rPr>
              <w:t xml:space="preserve"> Edition. However, in some instances, diagnoses recorded for long-stay patients may be from previous editions.</w:t>
            </w:r>
          </w:p>
          <w:p>
            <w:pPr>
              <w:spacing w:after="160"/>
            </w:pPr>
            <w:r>
              <w:rPr>
                <w:rStyle w:val="row-content-rich-text"/>
                <w:b/>
                <w:i/>
              </w:rPr>
              <w:t xml:space="preserve">Comparability over time</w:t>
            </w:r>
          </w:p>
          <w:p>
            <w:pPr/>
            <w:r>
              <w:rPr>
                <w:rStyle w:val="row-content-rich-text"/>
              </w:rPr>
              <w:t xml:space="preserve">In the 2018–19 reporting period, the Australian Capital Territory closed its only residential mental health service unit. As such, no data was reported for 2019–20. In the 2017–18 reporting period, Queensland reclassified existing Community Care Units from admitted patient care to residential mental health service units. All establishments that were recognised as Residential by the Queensland Health Department Director-General have been included in the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8b91f0f06542b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d3b4344ec546e0">
              <w:r>
                <w:rPr>
                  <w:rStyle w:val="Hyperlink"/>
                </w:rPr>
                <w:t xml:space="preserve">Residential mental health care NMDS 2018–19: National Residential Mental Health Care Database, 2020; Quality Statement</w:t>
              </w:r>
            </w:hyperlink>
          </w:p>
          <w:p>
            <w:pPr>
              <w:spacing w:before="0" w:after="0"/>
            </w:pPr>
            <w:r>
              <w:rPr>
                <w:rStyle w:val="row-content"/>
                <w:color w:val="244061"/>
              </w:rPr>
              <w:t xml:space="preserve">       </w:t>
            </w:r>
            <w:hyperlink w:history="true" r:id="Rb9f67eba8f7e410a">
              <w:r>
                <w:rPr>
                  <w:rStyle w:val="Hyperlink"/>
                  <w:color w:val="244061"/>
                </w:rPr>
                <w:t xml:space="preserve">AIHW Data Quality Statements</w:t>
              </w:r>
            </w:hyperlink>
            <w:r>
              <w:rPr>
                <w:rStyle w:val="row-content"/>
                <w:color w:val="244061"/>
              </w:rPr>
              <w:t xml:space="preserve">, Superseded 14/10/2021</w:t>
            </w:r>
          </w:p>
          <w:p>
            <w:r>
              <w:br/>
            </w:r>
            <w:r>
              <w:rPr>
                <w:rStyle w:val="row-content"/>
              </w:rPr>
              <w:t xml:space="preserve">Has been superseded by </w:t>
            </w:r>
            <w:hyperlink w:history="true" r:id="R0a6a7fb3b3964989">
              <w:r>
                <w:rPr>
                  <w:rStyle w:val="Hyperlink"/>
                </w:rPr>
                <w:t xml:space="preserve">Residential mental health care NMDS 2020–21: National Residential Mental Health Care Database, 2022; Quality Statement</w:t>
              </w:r>
            </w:hyperlink>
          </w:p>
          <w:p>
            <w:pPr>
              <w:spacing w:before="0" w:after="0"/>
            </w:pPr>
            <w:r>
              <w:rPr>
                <w:rStyle w:val="row-content"/>
                <w:color w:val="244061"/>
              </w:rPr>
              <w:t xml:space="preserve">       </w:t>
            </w:r>
            <w:hyperlink w:history="true" r:id="Re833c4a61c8745cb">
              <w:r>
                <w:rPr>
                  <w:rStyle w:val="Hyperlink"/>
                  <w:color w:val="244061"/>
                </w:rPr>
                <w:t xml:space="preserve">AIHW Data Quality Statements</w:t>
              </w:r>
            </w:hyperlink>
            <w:r>
              <w:rPr>
                <w:rStyle w:val="row-content"/>
                <w:color w:val="244061"/>
              </w:rPr>
              <w:t xml:space="preserve">, Superseded 08/12/2023</w:t>
            </w:r>
          </w:p>
          <w:p>
            <w:r>
              <w:br/>
            </w:r>
            <w:r>
              <w:rPr>
                <w:rStyle w:val="row-content"/>
              </w:rPr>
              <w:t xml:space="preserve">See also </w:t>
            </w:r>
            <w:hyperlink w:history="true" r:id="R4d165086bb0b4582">
              <w:r>
                <w:rPr>
                  <w:rStyle w:val="Hyperlink"/>
                </w:rPr>
                <w:t xml:space="preserve">Residential mental health care NMDS 2019–20</w:t>
              </w:r>
            </w:hyperlink>
          </w:p>
          <w:p>
            <w:pPr>
              <w:spacing w:before="0" w:after="0"/>
            </w:pPr>
            <w:r>
              <w:rPr>
                <w:rStyle w:val="row-content"/>
                <w:color w:val="244061"/>
              </w:rPr>
              <w:t xml:space="preserve">       </w:t>
            </w:r>
            <w:hyperlink w:history="true" r:id="R2d37da1af1fc46d8">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695881f8837c4f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742296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99858231084a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5881f8837c4f94" /><Relationship Type="http://schemas.openxmlformats.org/officeDocument/2006/relationships/header" Target="/word/header1.xml" Id="R6e43a094d143423a" /><Relationship Type="http://schemas.openxmlformats.org/officeDocument/2006/relationships/settings" Target="/word/settings.xml" Id="R0512ca90411d489d" /><Relationship Type="http://schemas.openxmlformats.org/officeDocument/2006/relationships/styles" Target="/word/styles.xml" Id="R69db4391c5bc4260" /><Relationship Type="http://schemas.openxmlformats.org/officeDocument/2006/relationships/hyperlink" Target="https://meteor.aihw.gov.au/RegistrationAuthority/5" TargetMode="External" Id="Ra9fa914eabf34961" /><Relationship Type="http://schemas.openxmlformats.org/officeDocument/2006/relationships/numbering" Target="/word/numbering.xml" Id="Rd6b89bd0390b4cfd" /><Relationship Type="http://schemas.openxmlformats.org/officeDocument/2006/relationships/hyperlink" Target="https://meteor.aihw.gov.au/content/645718" TargetMode="External" Id="Rba80e61741b14c99" /><Relationship Type="http://schemas.openxmlformats.org/officeDocument/2006/relationships/hyperlink" Target="http://www.comlaw.gov.au/Details/C2004A03450" TargetMode="External" Id="Rc058104ad17447bc" /><Relationship Type="http://schemas.openxmlformats.org/officeDocument/2006/relationships/hyperlink" Target="https://www.aihw.gov.au/about-us/our-governance" TargetMode="External" Id="Rfafcd7f74b0b46b9" /><Relationship Type="http://schemas.openxmlformats.org/officeDocument/2006/relationships/hyperlink" Target="https://www.legislation.gov.au/series/C2004A03712" TargetMode="External" Id="R6343e1965b9047fa" /><Relationship Type="http://schemas.openxmlformats.org/officeDocument/2006/relationships/hyperlink" Target="http://www.aihw.gov.au/about-us" TargetMode="External" Id="R1b371fa4b7f74e9c" /><Relationship Type="http://schemas.openxmlformats.org/officeDocument/2006/relationships/hyperlink" Target="http://www.aihw.gov.au/about-us/our-governance" TargetMode="External" Id="Rf15d3a7af3414a8d" /><Relationship Type="http://schemas.openxmlformats.org/officeDocument/2006/relationships/hyperlink" Target="http://www.aihw.gov.au/about-us/our-vision-and-strategic-goals" TargetMode="External" Id="Re6c2db8b94e94788" /><Relationship Type="http://schemas.openxmlformats.org/officeDocument/2006/relationships/hyperlink" Target="https://meteor.aihw.gov.au/content/182135" TargetMode="External" Id="R42d1a5f869414e05" /><Relationship Type="http://schemas.openxmlformats.org/officeDocument/2006/relationships/hyperlink" Target="https://meteor.aihw.gov.au/content/645723" TargetMode="External" Id="R35426040e16a4648" /><Relationship Type="http://schemas.openxmlformats.org/officeDocument/2006/relationships/hyperlink" Target="https://www.aihw.gov.au/reports-statistics/health-welfare-services/mental-health-services/overview" TargetMode="External" Id="R6b5beb8d916a4a7d" /><Relationship Type="http://schemas.openxmlformats.org/officeDocument/2006/relationships/hyperlink" Target="http://www.aihw.gov.au/mhsa/" TargetMode="External" Id="Rcef1e0bbb0474fea" /><Relationship Type="http://schemas.openxmlformats.org/officeDocument/2006/relationships/hyperlink" Target="https://meteor.aihw.gov.au/content/181162" TargetMode="External" Id="R05625419982a4079" /><Relationship Type="http://schemas.openxmlformats.org/officeDocument/2006/relationships/hyperlink" Target="https://www.legislation.gov.au/Details/C2018C00141" TargetMode="External" Id="R337a34a21aca491f" /><Relationship Type="http://schemas.openxmlformats.org/officeDocument/2006/relationships/hyperlink" Target="https://meteor.aihw.gov.au/content/246013" TargetMode="External" Id="Rb08b91f0f06542b8" /><Relationship Type="http://schemas.openxmlformats.org/officeDocument/2006/relationships/hyperlink" Target="https://meteor.aihw.gov.au/content/730013" TargetMode="External" Id="R01d3b4344ec546e0" /><Relationship Type="http://schemas.openxmlformats.org/officeDocument/2006/relationships/hyperlink" Target="https://meteor.aihw.gov.au/RegistrationAuthority/5" TargetMode="External" Id="Rb9f67eba8f7e410a" /><Relationship Type="http://schemas.openxmlformats.org/officeDocument/2006/relationships/hyperlink" Target="https://meteor.aihw.gov.au/content/764218" TargetMode="External" Id="R0a6a7fb3b3964989" /><Relationship Type="http://schemas.openxmlformats.org/officeDocument/2006/relationships/hyperlink" Target="https://meteor.aihw.gov.au/RegistrationAuthority/5" TargetMode="External" Id="Re833c4a61c8745cb" /><Relationship Type="http://schemas.openxmlformats.org/officeDocument/2006/relationships/hyperlink" Target="https://meteor.aihw.gov.au/content/707512" TargetMode="External" Id="R4d165086bb0b4582" /><Relationship Type="http://schemas.openxmlformats.org/officeDocument/2006/relationships/hyperlink" Target="https://meteor.aihw.gov.au/RegistrationAuthority/12" TargetMode="External" Id="R2d37da1af1fc46d8" /></Relationships>
</file>

<file path=word/_rels/header1.xml.rels>&#65279;<?xml version="1.0" encoding="utf-8"?><Relationships xmlns="http://schemas.openxmlformats.org/package/2006/relationships"><Relationship Type="http://schemas.openxmlformats.org/officeDocument/2006/relationships/image" Target="/media/image.png" Id="Rec99858231084a41" /></Relationships>
</file>