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76a7430c424d7b" /></Relationships>
</file>

<file path=word/document.xml><?xml version="1.0" encoding="utf-8"?>
<w:document xmlns:r="http://schemas.openxmlformats.org/officeDocument/2006/relationships" xmlns:w="http://schemas.openxmlformats.org/wordprocessingml/2006/main">
  <w:body>
    <w:p>
      <w:pPr>
        <w:pStyle w:val="Title"/>
      </w:pPr>
      <w:r>
        <w:t>Person—gender,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Gender of a person, as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0936ec8fc5414a">
              <w:r>
                <w:rPr>
                  <w:rStyle w:val="Hyperlink"/>
                  <w:color w:val="244061"/>
                </w:rPr>
                <w:t xml:space="preserve">Health</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a person describes their </w:t>
            </w:r>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7a443b4c13e94c2d">
              <w:r>
                <w:rPr>
                  <w:rStyle w:val="Hyperlink"/>
                  <w:b/>
                </w:rPr>
                <w:t xml:space="preserve">gender</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9d77005b094f15">
              <w:r>
                <w:rPr>
                  <w:rStyle w:val="Hyperlink"/>
                </w:rPr>
                <w:t xml:space="preserve">Person—gender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3868214d0349f0">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a900006928214133">
              <w:r>
                <w:rPr>
                  <w:rStyle w:val="Hyperlink"/>
                  <w:b/>
                </w:rPr>
                <w:t xml:space="preserve">Gender</w:t>
              </w:r>
            </w:hyperlink>
            <w:r>
              <w:rPr>
                <w:rStyle w:val="row-content-rich-text"/>
              </w:rPr>
              <w:t xml:space="preserve"> is a social and cultural concept. It is about social and cultural differences in identity, expression and experience as a man, boy, woman, girl, or non-binary person. Non-binary is an umbrella term describing gender identities that are not exclusively male or female.</w:t>
            </w:r>
          </w:p>
          <w:p>
            <w:pPr>
              <w:spacing w:after="160"/>
            </w:pPr>
            <w:r>
              <w:rPr>
                <w:rStyle w:val="row-content-rich-text"/>
              </w:rPr>
              <w:t xml:space="preserve">Gender includes the following concepts:</w:t>
            </w:r>
          </w:p>
          <w:p>
            <w:pPr>
              <w:pStyle w:val="ListParagraph"/>
              <w:numPr>
                <w:ilvl w:val="0"/>
                <w:numId w:val="2"/>
              </w:numPr>
            </w:pPr>
            <w:r>
              <w:rPr>
                <w:rStyle w:val="row-content-rich-text"/>
              </w:rPr>
              <w:t xml:space="preserve">Gender identity is about who a person feels themself to be</w:t>
            </w:r>
          </w:p>
          <w:p>
            <w:pPr>
              <w:pStyle w:val="ListParagraph"/>
              <w:numPr>
                <w:ilvl w:val="0"/>
                <w:numId w:val="2"/>
              </w:numPr>
            </w:pPr>
            <w:r>
              <w:rPr>
                <w:rStyle w:val="row-content-rich-text"/>
              </w:rPr>
              <w:t xml:space="preserve">Gender expression is the way a person expresses their gender. A person's gender expression may also vary depending on the context, for instance expressing different genders at work and home</w:t>
            </w:r>
          </w:p>
          <w:p>
            <w:pPr>
              <w:pStyle w:val="ListParagraph"/>
              <w:numPr>
                <w:ilvl w:val="0"/>
                <w:numId w:val="2"/>
              </w:numPr>
            </w:pPr>
            <w:r>
              <w:rPr>
                <w:rStyle w:val="row-content-rich-text"/>
              </w:rPr>
              <w:t xml:space="preserve">Gender experience describes a person's alignment with the sex recorded for them at birth i.e. a cis experience or a trans experience.</w:t>
            </w:r>
          </w:p>
          <w:p>
            <w:pPr>
              <w:spacing w:after="160"/>
            </w:pPr>
            <w:r>
              <w:rPr>
                <w:rStyle w:val="row-content-rich-text"/>
              </w:rPr>
              <w:t xml:space="preserve">This data element may be used where CODE 4 "Different term" has been selected in the data element: </w:t>
            </w:r>
            <w:hyperlink w:history="true" r:id="Ra5ccd54a8c6f4981">
              <w:r>
                <w:rPr>
                  <w:rStyle w:val="Hyperlink"/>
                </w:rPr>
                <w:t xml:space="preserve">Person—gender, code X</w:t>
              </w:r>
            </w:hyperlink>
            <w:r>
              <w:rPr>
                <w:rStyle w:val="row-content-rich-text"/>
              </w:rPr>
              <w:t xml:space="preserve">.</w:t>
            </w:r>
          </w:p>
          <w:p>
            <w:pPr>
              <w:spacing w:after="160"/>
            </w:pPr>
            <w:r>
              <w:rPr>
                <w:rStyle w:val="row-content-rich-text"/>
              </w:rPr>
              <w:t xml:space="preserve">This data element may be used to capture any further (optional) specification of gender descriptors. The inclusion of this write-in facility where the "Different term" code has been selected for </w:t>
            </w:r>
            <w:hyperlink w:history="true" r:id="Rd9c72d8e1a6f4c27">
              <w:r>
                <w:rPr>
                  <w:rStyle w:val="Hyperlink"/>
                </w:rPr>
                <w:t xml:space="preserve">Person—gender, code X</w:t>
              </w:r>
            </w:hyperlink>
            <w:r>
              <w:rPr>
                <w:rStyle w:val="row-content-rich-text"/>
              </w:rPr>
              <w:t xml:space="preserve"> allows respondents the opportunity to describe their gender using a term they are comfortable with, whilst also maximising the potential for analysis of the responses provided. For example, respondents could report terms such as "gender diverse", "unspecified", "gender queer", "pan-gendered", "androgynous" and "inter-gender" for gender.</w:t>
            </w:r>
          </w:p>
          <w:p>
            <w:pPr/>
            <w:r>
              <w:rPr>
                <w:rStyle w:val="row-content-rich-text"/>
              </w:rPr>
              <w:t xml:space="preserve">Data element sets implementing this data element should include a Conditional obligation with the following text: "Conditional on a CODE 4: 'Different term' response in the data element: </w:t>
            </w:r>
            <w:hyperlink w:history="true" r:id="Rffbf8cefe4ab4e9b">
              <w:r>
                <w:rPr>
                  <w:rStyle w:val="Hyperlink"/>
                </w:rPr>
                <w:t xml:space="preserve">Person—gender, code X</w:t>
              </w:r>
            </w:hyperlink>
            <w:r>
              <w:rPr>
                <w:rStyle w:val="row-content-rich-text"/>
              </w:rPr>
              <w:t xml:space="preserv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bb8d9c8739104edd">
              <w:r>
                <w:rPr>
                  <w:rStyle w:val="Hyperlink"/>
                  <w:b/>
                </w:rPr>
                <w:t xml:space="preserve">sex</w:t>
              </w:r>
            </w:hyperlink>
            <w:r>
              <w:rPr>
                <w:rStyle w:val="row-content-rich-text"/>
              </w:rPr>
              <w:t xml:space="preserve"> and gender are interrelated, and are often used interchangeably, however they are distinct concepts:</w:t>
            </w:r>
          </w:p>
          <w:p>
            <w:pPr>
              <w:pStyle w:val="ListParagraph"/>
              <w:numPr>
                <w:ilvl w:val="0"/>
                <w:numId w:val="3"/>
              </w:numPr>
            </w:pPr>
            <w:r>
              <w:rPr>
                <w:rStyle w:val="row-content-rich-text"/>
              </w:rPr>
              <w:t xml:space="preserve">Sex is understood in relation to sex characteristics. Sex recorded at birth refers to what was determined by sex characteristics observed at birth or in infancy</w:t>
            </w:r>
          </w:p>
          <w:p>
            <w:pPr>
              <w:pStyle w:val="ListParagraph"/>
              <w:numPr>
                <w:ilvl w:val="0"/>
                <w:numId w:val="3"/>
              </w:numPr>
            </w:pPr>
            <w:r>
              <w:rPr>
                <w:rStyle w:val="row-content-rich-text"/>
              </w:rPr>
              <w:t xml:space="preserve">Gender is about social and cultural differences in identity, expression and experience. </w:t>
            </w:r>
          </w:p>
          <w:p>
            <w:pPr>
              <w:spacing w:after="160"/>
            </w:pPr>
            <w:r>
              <w:rPr>
                <w:rStyle w:val="row-content-rich-text"/>
              </w:rPr>
              <w:t xml:space="preserve">While they are related concepts, caution should be exercised when comparing counts for sex with those for gender.</w:t>
            </w:r>
          </w:p>
          <w:p>
            <w:pPr>
              <w:spacing w:after="160"/>
            </w:pPr>
            <w:r>
              <w:rPr>
                <w:rStyle w:val="row-content-rich-text"/>
              </w:rPr>
              <w:t xml:space="preserve">A person's gender may stay the same or can change over the course of their lifetime. The gender response option chosen will reflect a person's gender at that point in time. Some people may not identify with a specific gender or with the concept of gender at all.</w:t>
            </w:r>
          </w:p>
          <w:p>
            <w:pPr/>
            <w:r>
              <w:rPr>
                <w:rStyle w:val="row-content-rich-text"/>
              </w:rPr>
              <w:t xml:space="preserve">“The preferred Australian Government approach is to collect and use gender information. Information regarding sex would ordinarily not be required and should only be collected where there is a legitimate need for that information and it is consistent with Australian Privacy Principle 3.” (AGD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e0a249e6b411430b">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 </w:t>
            </w:r>
            <w:hyperlink w:history="true" r:id="R14f36207f9dc4dc9">
              <w:r>
                <w:rPr>
                  <w:rStyle w:val="Hyperlink"/>
                </w:rPr>
                <w:t xml:space="preserve">https://www.ag.gov.au/rights-and-protections/publications/australian-government-guidelines-recognition-sex-and-gender</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5b5cfc95db48de">
              <w:r>
                <w:rPr>
                  <w:rStyle w:val="Hyperlink"/>
                </w:rPr>
                <w:t xml:space="preserve">Person—gender, text X[X(99)]</w:t>
              </w:r>
            </w:hyperlink>
          </w:p>
          <w:p>
            <w:pPr>
              <w:spacing w:before="0" w:after="0"/>
            </w:pPr>
            <w:r>
              <w:rPr>
                <w:rStyle w:val="row-content"/>
                <w:color w:val="244061"/>
              </w:rPr>
              <w:t xml:space="preserve">       </w:t>
            </w:r>
            <w:hyperlink w:history="true" r:id="R68e1f7fe686d40db">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815252ad17be48c8">
              <w:r>
                <w:rPr>
                  <w:rStyle w:val="Hyperlink"/>
                </w:rPr>
                <w:t xml:space="preserve">Person—gender, code X</w:t>
              </w:r>
            </w:hyperlink>
          </w:p>
          <w:p>
            <w:pPr>
              <w:spacing w:before="0" w:after="0"/>
            </w:pPr>
            <w:r>
              <w:rPr>
                <w:rStyle w:val="row-content"/>
                <w:color w:val="244061"/>
              </w:rPr>
              <w:t xml:space="preserve">       </w:t>
            </w:r>
            <w:hyperlink w:history="true" r:id="R18d99c0c89744f6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d6f03d7669742db">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b454c2556d0e4d1d">
              <w:r>
                <w:rPr>
                  <w:rStyle w:val="Hyperlink"/>
                  <w:color w:val="244061"/>
                </w:rPr>
                <w:t xml:space="preserve">Health</w:t>
              </w:r>
            </w:hyperlink>
            <w:r>
              <w:rPr>
                <w:rStyle w:val="row-content"/>
                <w:color w:val="244061"/>
              </w:rPr>
              <w:t xml:space="preserve">, Standard 15/02/2022</w:t>
            </w:r>
          </w:p>
          <w:p>
            <w:r>
              <w:br/>
            </w:r>
          </w:p>
        </w:tc>
      </w:tr>
    </w:tbl>
    <w:p/>
    <w:tbl>
      <w:tblPr>
        <w:tblStyle w:val="TableGrid"/>
        <w:tblW w:w="0" w:type="auto"/>
      </w:tblPr>
    </w:tbl>
    <w:p>
      <w:r>
        <w:br/>
      </w:r>
    </w:p>
    <w:sectPr>
      <w:footerReference xmlns:r="http://schemas.openxmlformats.org/officeDocument/2006/relationships" w:type="default" r:id="Rb8fde687096c4f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741853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362ef3258145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fde687096c4f88" /><Relationship Type="http://schemas.openxmlformats.org/officeDocument/2006/relationships/header" Target="/word/header1.xml" Id="R6656bb62ea914773" /><Relationship Type="http://schemas.openxmlformats.org/officeDocument/2006/relationships/settings" Target="/word/settings.xml" Id="R689302d262b34b2c" /><Relationship Type="http://schemas.openxmlformats.org/officeDocument/2006/relationships/styles" Target="/word/styles.xml" Id="Rf501058b46144678" /><Relationship Type="http://schemas.openxmlformats.org/officeDocument/2006/relationships/hyperlink" Target="https://meteor.aihw.gov.au/RegistrationAuthority/12" TargetMode="External" Id="Ra90936ec8fc5414a" /><Relationship Type="http://schemas.openxmlformats.org/officeDocument/2006/relationships/hyperlink" Target="https://meteor.aihw.gov.au/content/750032" TargetMode="External" Id="R7a443b4c13e94c2d" /><Relationship Type="http://schemas.openxmlformats.org/officeDocument/2006/relationships/hyperlink" Target="https://meteor.aihw.gov.au/content/741822" TargetMode="External" Id="Re29d77005b094f15" /><Relationship Type="http://schemas.openxmlformats.org/officeDocument/2006/relationships/hyperlink" Target="https://meteor.aihw.gov.au/content/270662" TargetMode="External" Id="Rd33868214d0349f0" /><Relationship Type="http://schemas.openxmlformats.org/officeDocument/2006/relationships/hyperlink" Target="https://meteor.aihw.gov.au/content/750032" TargetMode="External" Id="Ra900006928214133" /><Relationship Type="http://schemas.openxmlformats.org/officeDocument/2006/relationships/numbering" Target="/word/numbering.xml" Id="Rf071eb967c6c413d" /><Relationship Type="http://schemas.openxmlformats.org/officeDocument/2006/relationships/hyperlink" Target="https://meteor.aihw.gov.au/content/741842" TargetMode="External" Id="Ra5ccd54a8c6f4981" /><Relationship Type="http://schemas.openxmlformats.org/officeDocument/2006/relationships/hyperlink" Target="https://meteor.aihw.gov.au/content/741842" TargetMode="External" Id="Rd9c72d8e1a6f4c27" /><Relationship Type="http://schemas.openxmlformats.org/officeDocument/2006/relationships/hyperlink" Target="https://meteor.aihw.gov.au/content/741842" TargetMode="External" Id="Rffbf8cefe4ab4e9b" /><Relationship Type="http://schemas.openxmlformats.org/officeDocument/2006/relationships/hyperlink" Target="https://meteor.aihw.gov.au/content/750030" TargetMode="External" Id="Rbb8d9c8739104edd" /><Relationship Type="http://schemas.openxmlformats.org/officeDocument/2006/relationships/hyperlink" Target="https://www.abs.gov.au/statistics/standards/standard-sex-gender-variations-sex-characteristics-and-sexual-orientation-variables/latest-release" TargetMode="External" Id="Re0a249e6b411430b" /><Relationship Type="http://schemas.openxmlformats.org/officeDocument/2006/relationships/hyperlink" Target="https://www.ag.gov.au/rights-and-protections/publications/australian-government-guidelines-recognition-sex-and-gender" TargetMode="External" Id="R14f36207f9dc4dc9" /><Relationship Type="http://schemas.openxmlformats.org/officeDocument/2006/relationships/hyperlink" Target="https://meteor.aihw.gov.au/content/637351" TargetMode="External" Id="R6d5b5cfc95db48de" /><Relationship Type="http://schemas.openxmlformats.org/officeDocument/2006/relationships/hyperlink" Target="https://meteor.aihw.gov.au/RegistrationAuthority/12" TargetMode="External" Id="R68e1f7fe686d40db" /><Relationship Type="http://schemas.openxmlformats.org/officeDocument/2006/relationships/hyperlink" Target="https://meteor.aihw.gov.au/content/741842" TargetMode="External" Id="R815252ad17be48c8" /><Relationship Type="http://schemas.openxmlformats.org/officeDocument/2006/relationships/hyperlink" Target="https://meteor.aihw.gov.au/RegistrationAuthority/19" TargetMode="External" Id="R18d99c0c89744f6c" /><Relationship Type="http://schemas.openxmlformats.org/officeDocument/2006/relationships/hyperlink" Target="https://meteor.aihw.gov.au/RegistrationAuthority/24" TargetMode="External" Id="Red6f03d7669742db" /><Relationship Type="http://schemas.openxmlformats.org/officeDocument/2006/relationships/hyperlink" Target="https://meteor.aihw.gov.au/RegistrationAuthority/12" TargetMode="External" Id="Rb454c2556d0e4d1d" /></Relationships>
</file>

<file path=word/_rels/header1.xml.rels>&#65279;<?xml version="1.0" encoding="utf-8"?><Relationships xmlns="http://schemas.openxmlformats.org/package/2006/relationships"><Relationship Type="http://schemas.openxmlformats.org/officeDocument/2006/relationships/image" Target="/media/image.png" Id="R4f362ef325814573" /></Relationships>
</file>