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512d670854478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1.0 per 10,000 occupied bed days for acute care public hospitals by 2020–21 in each state and territory,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1.0 per 10,000 occupied bed days for acute care public hospitals by 2020–21 in each state and territory,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1.0 per 10,000 occupied bed days for acute care public hospitals by 2020–21 in each state and territory,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b648fbc474fb5">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1.0 per 10,000 patient days for acute care public hospitals by 2020–21 in each state and 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c74fcb271a409b">
              <w:r>
                <w:rPr>
                  <w:rStyle w:val="Hyperlink"/>
                </w:rPr>
                <w:t xml:space="preserve">National Healthcare Agreement (2022)</w:t>
              </w:r>
            </w:hyperlink>
          </w:p>
          <w:p>
            <w:pPr>
              <w:spacing w:before="0" w:after="0"/>
            </w:pPr>
            <w:r>
              <w:rPr>
                <w:rStyle w:val="row-content"/>
                <w:color w:val="244061"/>
              </w:rPr>
              <w:t xml:space="preserve">       </w:t>
            </w:r>
            <w:hyperlink w:history="true" r:id="R9d064801fda941a2">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92586b6a0824a05">
              <w:r>
                <w:rPr>
                  <w:rStyle w:val="Hyperlink"/>
                </w:rPr>
                <w:t xml:space="preserve">Hospital and Related Care</w:t>
              </w:r>
            </w:hyperlink>
          </w:p>
          <w:p>
            <w:pPr>
              <w:spacing w:before="0" w:after="0"/>
            </w:pPr>
            <w:r>
              <w:rPr>
                <w:rStyle w:val="row-content"/>
                <w:color w:val="244061"/>
              </w:rPr>
              <w:t xml:space="preserve">       </w:t>
            </w:r>
            <w:hyperlink w:history="true" r:id="Ree4eb92c90484fa8">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538a3e461424ac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 of data collection, all types of public hospitals are included (as defined in the </w:t>
            </w:r>
            <w:hyperlink w:history="true" r:id="R6c27a9c90fc54585">
              <w:r>
                <w:rPr>
                  <w:rStyle w:val="Hyperlink"/>
                </w:rPr>
                <w:t xml:space="preserve">Local Hospital Networks/Public hospital establishments NMDS 2019–20</w:t>
              </w:r>
            </w:hyperlink>
            <w:r>
              <w:rPr>
                <w:rStyle w:val="row-content-rich-text"/>
              </w:rPr>
              <w:t xml:space="preserve">), both those focusing on acute care, and those focusing on non-acute or sub-acute care, including psychiatric, rehabilitation and palliative care.</w:t>
            </w:r>
          </w:p>
          <w:p>
            <w:pPr>
              <w:spacing w:after="160"/>
            </w:pPr>
            <w:r>
              <w:rPr>
                <w:rStyle w:val="row-content-rich-text"/>
              </w:rPr>
              <w:t xml:space="preserve">A </w:t>
            </w:r>
            <w:hyperlink w:history="true" r:id="R722d13ef43a94fd2">
              <w:r>
                <w:rPr>
                  <w:rStyle w:val="Hyperlink"/>
                </w:rPr>
                <w:t xml:space="preserve">patient-episode of </w:t>
              </w:r>
              <w:r>
                <w:rPr>
                  <w:rStyle w:val="row-content-rich-text"/>
                  <w:i/>
                </w:rPr>
                <w:t xml:space="preserve">Staphylococcus aureus</w:t>
              </w:r>
              <w:r>
                <w:rPr>
                  <w:rStyle w:val="row-content-rich-text"/>
                </w:rPr>
                <w:t xml:space="preserve"> bacteraemia (SAB)</w:t>
              </w:r>
            </w:hyperlink>
            <w:r>
              <w:rPr>
                <w:rStyle w:val="row-content-rich-text"/>
              </w:rPr>
              <w:t xml:space="preserve">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1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0d8ee88c48fa4ae3">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rPr>
              <w:t xml:space="preserve"> </w:t>
            </w:r>
          </w:p>
          <w:p>
            <w:r>
              <w:rPr>
                <w:rStyle w:val="row-content"/>
                <w:b/>
              </w:rPr>
              <w:t xml:space="preserve">Data Source</w:t>
            </w:r>
          </w:p>
          <w:p>
            <w:hyperlink w:history="true" r:id="R326d92d4df704234">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37f92e6449a34cca">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care—admission date</w:t>
            </w:r>
          </w:p>
          <w:p>
            <w:r>
              <w:rPr>
                <w:rStyle w:val="row-content"/>
              </w:rPr>
              <w:t xml:space="preserve"> </w:t>
            </w:r>
          </w:p>
          <w:p>
            <w:r>
              <w:rPr>
                <w:rStyle w:val="row-content"/>
                <w:b/>
              </w:rPr>
              <w:t xml:space="preserve">Data Source</w:t>
            </w:r>
          </w:p>
          <w:p>
            <w:hyperlink w:history="true" r:id="R02fd9bd1c16e4183">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care—separation date</w:t>
            </w:r>
          </w:p>
          <w:p>
            <w:r>
              <w:rPr>
                <w:rStyle w:val="row-content"/>
              </w:rPr>
              <w:t xml:space="preserve"> </w:t>
            </w:r>
          </w:p>
          <w:p>
            <w:r>
              <w:rPr>
                <w:rStyle w:val="row-content"/>
                <w:b/>
              </w:rPr>
              <w:t xml:space="preserve">Data Source</w:t>
            </w:r>
          </w:p>
          <w:p>
            <w:hyperlink w:history="true" r:id="R4c01ca3670fc4187">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rPr>
              <w:t xml:space="preserve"> </w:t>
            </w:r>
          </w:p>
          <w:p>
            <w:r>
              <w:rPr>
                <w:rStyle w:val="row-content"/>
                <w:b/>
              </w:rPr>
              <w:t xml:space="preserve">Data Source</w:t>
            </w:r>
          </w:p>
          <w:p>
            <w:hyperlink w:history="true" r:id="R1849b1833c52478c">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Establishment—organisation identifier (Australian)</w:t>
            </w:r>
          </w:p>
          <w:p>
            <w:r>
              <w:rPr>
                <w:rStyle w:val="row-content"/>
              </w:rPr>
              <w:t xml:space="preserve"> </w:t>
            </w:r>
          </w:p>
          <w:p>
            <w:r>
              <w:rPr>
                <w:rStyle w:val="row-content"/>
                <w:b/>
              </w:rPr>
              <w:t xml:space="preserve">Data Source</w:t>
            </w:r>
          </w:p>
          <w:p>
            <w:hyperlink w:history="true" r:id="R83631056c2a74ce0">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 (updated for resupplied data), 2020–21—State and territory, by:</w:t>
            </w:r>
          </w:p>
          <w:p>
            <w:pPr>
              <w:pStyle w:val="ListParagraph"/>
              <w:numPr>
                <w:ilvl w:val="0"/>
                <w:numId w:val="3"/>
              </w:numPr>
            </w:pPr>
            <w:r>
              <w:rPr>
                <w:rStyle w:val="row-content-rich-text"/>
              </w:rPr>
              <w:t xml:space="preserve">Methicillin-resistant </w:t>
            </w:r>
            <w:r>
              <w:rPr>
                <w:rStyle w:val="row-content-rich-text"/>
                <w:i/>
              </w:rPr>
              <w:t xml:space="preserve">Staph</w:t>
            </w:r>
            <w:r>
              <w:rPr>
                <w:rStyle w:val="row-content-rich-text"/>
                <w:i/>
              </w:rPr>
              <w:t xml:space="preserve">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e3873b77fb53468c">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rPr>
              <w:t xml:space="preserve"> </w:t>
            </w:r>
          </w:p>
          <w:p>
            <w:r>
              <w:rPr>
                <w:rStyle w:val="row-content"/>
                <w:b/>
              </w:rPr>
              <w:t xml:space="preserve">Data Source</w:t>
            </w:r>
          </w:p>
          <w:p>
            <w:hyperlink w:history="true" r:id="Rc9a4d64056f64210">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Baseline: 2009–10.</w:t>
            </w:r>
          </w:p>
          <w:p>
            <w:pPr>
              <w:spacing w:after="160"/>
            </w:pPr>
            <w:r>
              <w:rPr>
                <w:rStyle w:val="row-content-rich-text"/>
              </w:rPr>
              <w:t xml:space="preserve">A new national benchmark for healthcare-associated SAB infections for public hospital reporting was endorsed by the Australian Health Ministers’ Advisory Council and implemented from 1 July 2020. This new benchmark is 1.0 case per 10,000 patient days. The previous benchmark (applying to data prior to 1 July 2020) was 2.0 cases per 10,000 patient days.</w:t>
            </w:r>
          </w:p>
          <w:p>
            <w:pPr>
              <w:spacing w:after="160"/>
            </w:pPr>
            <w:r>
              <w:rPr>
                <w:rStyle w:val="row-content-rich-text"/>
              </w:rPr>
              <w:t xml:space="preserve">In accordance with analysis guidelines produced by the Australian Commission for Safety and Quality in Health Care, reported data may refer to SABSI (for </w:t>
            </w:r>
            <w:r>
              <w:rPr>
                <w:rStyle w:val="row-content-rich-text"/>
                <w:i/>
              </w:rPr>
              <w:t xml:space="preserve">Staphylococcus aureus</w:t>
            </w:r>
            <w:r>
              <w:rPr>
                <w:rStyle w:val="row-content-rich-text"/>
              </w:rPr>
              <w:t xml:space="preserve"> bloodstream infections) or HA-SABSI (for healthcare-associated </w:t>
            </w:r>
            <w:r>
              <w:rPr>
                <w:rStyle w:val="row-content-rich-text"/>
                <w:i/>
              </w:rPr>
              <w:t xml:space="preserve">Staphylococcus aureus</w:t>
            </w:r>
            <w:r>
              <w:rPr>
                <w:rStyle w:val="row-content-rich-text"/>
              </w:rPr>
              <w:t xml:space="preserve"> bloodstream infections).</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For the purpose of data collection, 'acute care public hospitals' refers to all types of public hospitals with SAB surveillance arrangements.</w:t>
            </w:r>
          </w:p>
          <w:p>
            <w:pPr>
              <w:pStyle w:val="ListParagraph"/>
              <w:numPr>
                <w:ilvl w:val="0"/>
                <w:numId w:val="4"/>
              </w:numPr>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pStyle w:val="ListParagraph"/>
              <w:numPr>
                <w:ilvl w:val="0"/>
                <w:numId w:val="4"/>
              </w:numPr>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pStyle w:val="ListParagraph"/>
              <w:numPr>
                <w:ilvl w:val="0"/>
                <w:numId w:val="4"/>
              </w:numPr>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pStyle w:val="ListParagraph"/>
              <w:numPr>
                <w:ilvl w:val="0"/>
                <w:numId w:val="4"/>
              </w:numPr>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2018–19, 2019–20 and 2020–21 are reported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Due to resource requirements associated with responses to the COVID-19 pandemic, the Victorian government exempted all Victorian hospitals from routine surveillance reporting during the period 1 April to 31 December 2020. While most Victorian hospitals continued to submit SAB data during this period, some were unable to carry out and submit data from hand hygiene audits.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be700495bd4b90">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480bce11845d4143">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1.0 per 10,000 patient days for acute care public hospitals by 2020–21 in each state and territory. Prior to 1 July 2020, the benchmark was 2.0 cases per 10,000 patient days.</w:t>
            </w:r>
          </w:p>
          <w:p>
            <w:pPr/>
            <w:r>
              <w:rPr>
                <w:rStyle w:val="row-content-rich-text"/>
              </w:rPr>
              <w:t xml:space="preserve">Refer </w:t>
            </w:r>
            <w:hyperlink w:history="true" r:id="R60171cac59ae41da">
              <w:r>
                <w:rPr>
                  <w:rStyle w:val="Hyperlink"/>
                </w:rPr>
                <w:t xml:space="preserve">Austalian Commission on Safety and Quality in Health Care 2020</w:t>
              </w:r>
            </w:hyperlink>
            <w:r>
              <w:rPr>
                <w:rStyle w:val="row-content-rich-text"/>
              </w:rPr>
              <w:t xml:space="preserve"> and </w:t>
            </w:r>
            <w:hyperlink w:history="true" r:id="Rb06aa3918b5642fa">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2020. Staphylococcus aureus bacteraemia (SAB) Prevention Resources. Viewed 18 February 2021, </w:t>
            </w:r>
            <w:hyperlink w:history="true" r:id="R7318f5ab14a6419b">
              <w:r>
                <w:rPr>
                  <w:rStyle w:val="Hyperlink"/>
                </w:rPr>
                <w:t xml:space="preserve">https://www.safetyandquality.gov.au/our-work/infection-prevention-and-control/staphylococcus-aureus-bacteraemia-sab-prevention-resources</w:t>
              </w:r>
            </w:hyperlink>
          </w:p>
          <w:p>
            <w:pPr/>
            <w:r>
              <w:rPr>
                <w:rStyle w:val="row-content-rich-text"/>
              </w:rPr>
              <w:t xml:space="preserve">Council of Australian Governments 2012. National Healthcare Agreement (effective 25 July 2012). Viewed 5 May 2020, </w:t>
            </w:r>
            <w:hyperlink w:history="true" r:id="R23cbcd43ab1c4a86">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47dd48702e411d">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2021</w:t>
              </w:r>
            </w:hyperlink>
          </w:p>
          <w:p>
            <w:pPr>
              <w:spacing w:before="0" w:after="0"/>
            </w:pPr>
            <w:r>
              <w:rPr>
                <w:rStyle w:val="row-content"/>
                <w:color w:val="244061"/>
              </w:rPr>
              <w:t xml:space="preserve">       </w:t>
            </w:r>
            <w:hyperlink w:history="true" r:id="R7ce875f5e02746e2">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188943dd50ca42c7">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659bab1d4e5341a6">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6b7692fa8ce542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0237fd4af41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7692fa8ce5426a" /><Relationship Type="http://schemas.openxmlformats.org/officeDocument/2006/relationships/header" Target="/word/header1.xml" Id="Rc12ce85658d248a2" /><Relationship Type="http://schemas.openxmlformats.org/officeDocument/2006/relationships/settings" Target="/word/settings.xml" Id="Reac3412219d84437" /><Relationship Type="http://schemas.openxmlformats.org/officeDocument/2006/relationships/styles" Target="/word/styles.xml" Id="R04402ad2c49742ab" /><Relationship Type="http://schemas.openxmlformats.org/officeDocument/2006/relationships/hyperlink" Target="https://meteor.aihw.gov.au/RegistrationAuthority/12" TargetMode="External" Id="R50db648fbc474fb5" /><Relationship Type="http://schemas.openxmlformats.org/officeDocument/2006/relationships/hyperlink" Target="https://meteor.aihw.gov.au/content/740910" TargetMode="External" Id="Rddc74fcb271a409b" /><Relationship Type="http://schemas.openxmlformats.org/officeDocument/2006/relationships/hyperlink" Target="https://meteor.aihw.gov.au/RegistrationAuthority/12" TargetMode="External" Id="R9d064801fda941a2" /><Relationship Type="http://schemas.openxmlformats.org/officeDocument/2006/relationships/hyperlink" Target="https://meteor.aihw.gov.au/content/393487" TargetMode="External" Id="Ra92586b6a0824a05" /><Relationship Type="http://schemas.openxmlformats.org/officeDocument/2006/relationships/hyperlink" Target="https://meteor.aihw.gov.au/RegistrationAuthority/12" TargetMode="External" Id="Ree4eb92c90484fa8" /><Relationship Type="http://schemas.openxmlformats.org/officeDocument/2006/relationships/hyperlink" Target="https://meteor.aihw.gov.au/RegistrationAuthority/8" TargetMode="External" Id="R5538a3e461424ac9" /><Relationship Type="http://schemas.openxmlformats.org/officeDocument/2006/relationships/hyperlink" Target="https://meteor.aihw.gov.au/content/706340" TargetMode="External" Id="R6c27a9c90fc54585" /><Relationship Type="http://schemas.openxmlformats.org/officeDocument/2006/relationships/hyperlink" Target="https://meteor.aihw.gov.au/content/590503" TargetMode="External" Id="R722d13ef43a94fd2" /><Relationship Type="http://schemas.openxmlformats.org/officeDocument/2006/relationships/numbering" Target="/word/numbering.xml" Id="R71bf537915ec4819" /><Relationship Type="http://schemas.openxmlformats.org/officeDocument/2006/relationships/hyperlink" Target="https://meteor.aihw.gov.au/content/270045" TargetMode="External" Id="R0d8ee88c48fa4ae3" /><Relationship Type="http://schemas.openxmlformats.org/officeDocument/2006/relationships/hyperlink" Target="https://meteor.aihw.gov.au/content/402699" TargetMode="External" Id="R326d92d4df704234" /><Relationship Type="http://schemas.openxmlformats.org/officeDocument/2006/relationships/hyperlink" Target="https://meteor.aihw.gov.au/content/402699" TargetMode="External" Id="R37f92e6449a34cca" /><Relationship Type="http://schemas.openxmlformats.org/officeDocument/2006/relationships/hyperlink" Target="https://meteor.aihw.gov.au/content/426458" TargetMode="External" Id="R02fd9bd1c16e4183" /><Relationship Type="http://schemas.openxmlformats.org/officeDocument/2006/relationships/hyperlink" Target="https://meteor.aihw.gov.au/content/426458" TargetMode="External" Id="R4c01ca3670fc4187" /><Relationship Type="http://schemas.openxmlformats.org/officeDocument/2006/relationships/hyperlink" Target="https://meteor.aihw.gov.au/content/426458" TargetMode="External" Id="R1849b1833c52478c" /><Relationship Type="http://schemas.openxmlformats.org/officeDocument/2006/relationships/hyperlink" Target="https://meteor.aihw.gov.au/content/426458" TargetMode="External" Id="R83631056c2a74ce0" /><Relationship Type="http://schemas.openxmlformats.org/officeDocument/2006/relationships/hyperlink" Target="https://meteor.aihw.gov.au/content/402699" TargetMode="External" Id="Re3873b77fb53468c" /><Relationship Type="http://schemas.openxmlformats.org/officeDocument/2006/relationships/hyperlink" Target="https://meteor.aihw.gov.au/content/402699" TargetMode="External" Id="Rc9a4d64056f64210" /><Relationship Type="http://schemas.openxmlformats.org/officeDocument/2006/relationships/hyperlink" Target="https://meteor.aihw.gov.au/content/426458" TargetMode="External" Id="R54be700495bd4b90" /><Relationship Type="http://schemas.openxmlformats.org/officeDocument/2006/relationships/hyperlink" Target="https://meteor.aihw.gov.au/content/402699" TargetMode="External" Id="R480bce11845d4143" /><Relationship Type="http://schemas.openxmlformats.org/officeDocument/2006/relationships/hyperlink" Target="https://www.safetyandquality.gov.au/our-work/infection-prevention-and-control/staphylococcus-aureus-bacteraemia-sab-prevention-resources" TargetMode="External" Id="R60171cac59ae41da" /><Relationship Type="http://schemas.openxmlformats.org/officeDocument/2006/relationships/hyperlink" Target="http://www.federalfinancialrelations.gov.au/content/npa/health/_archive/healthcare_national-agreement.pdf" TargetMode="External" Id="Rb06aa3918b5642fa" /><Relationship Type="http://schemas.openxmlformats.org/officeDocument/2006/relationships/hyperlink" Target="https://www.safetyandquality.gov.au/our-work/infection-prevention-and-control/staphylococcus-aureus-bacteraemia-sab-prevention-resources" TargetMode="External" Id="R7318f5ab14a6419b" /><Relationship Type="http://schemas.openxmlformats.org/officeDocument/2006/relationships/hyperlink" Target="http://www.federalfinancialrelations.gov.au/content/npa/health/_archive/healthcare_national-agreement.pdf" TargetMode="External" Id="R23cbcd43ab1c4a86" /><Relationship Type="http://schemas.openxmlformats.org/officeDocument/2006/relationships/hyperlink" Target="https://meteor.aihw.gov.au/content/725830" TargetMode="External" Id="Rbf47dd48702e411d" /><Relationship Type="http://schemas.openxmlformats.org/officeDocument/2006/relationships/hyperlink" Target="https://meteor.aihw.gov.au/RegistrationAuthority/12" TargetMode="External" Id="R7ce875f5e02746e2" /><Relationship Type="http://schemas.openxmlformats.org/officeDocument/2006/relationships/hyperlink" Target="https://meteor.aihw.gov.au/content/740834" TargetMode="External" Id="R188943dd50ca42c7" /><Relationship Type="http://schemas.openxmlformats.org/officeDocument/2006/relationships/hyperlink" Target="https://meteor.aihw.gov.au/RegistrationAuthority/12" TargetMode="External" Id="R659bab1d4e5341a6" /></Relationships>
</file>

<file path=word/_rels/header1.xml.rels>&#65279;<?xml version="1.0" encoding="utf-8"?><Relationships xmlns="http://schemas.openxmlformats.org/package/2006/relationships"><Relationship Type="http://schemas.openxmlformats.org/officeDocument/2006/relationships/image" Target="/media/image.png" Id="Rf120237fd4af41fd" /></Relationships>
</file>