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a2cc255b5f407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07–Infant and young child mortality rate,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211f992e22488d">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infants and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32fcd8af0374fe8">
              <w:r>
                <w:rPr>
                  <w:rStyle w:val="Hyperlink"/>
                </w:rPr>
                <w:t xml:space="preserve">National Healthcare Agreement (2022)</w:t>
              </w:r>
            </w:hyperlink>
          </w:p>
          <w:p>
            <w:pPr>
              <w:pStyle w:val="registration-status"/>
              <w:spacing w:before="0" w:after="0"/>
            </w:pPr>
            <w:hyperlink w:history="true" r:id="R56b965f812d34cb3">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f30db3a5d444a65">
              <w:r>
                <w:rPr>
                  <w:rStyle w:val="Hyperlink"/>
                </w:rPr>
                <w:t xml:space="preserve">Prevention</w:t>
              </w:r>
            </w:hyperlink>
          </w:p>
          <w:p>
            <w:pPr>
              <w:pStyle w:val="registration-status"/>
              <w:spacing w:before="0" w:after="0"/>
            </w:pPr>
            <w:hyperlink w:history="true" r:id="Reca1438a5e99460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Infants (&lt;1 year old) crude rate: 1,000 x (Numerator ÷ Denominator)</w:t>
            </w:r>
            <w:r>
              <w:br/>
            </w:r>
            <w:r>
              <w:rPr>
                <w:rStyle w:val="row-content-rich-text"/>
              </w:rPr>
              <w:t xml:space="preserve">Children (0–4 year olds) crude rate: 100,000 x (Numerator ÷ Denominator)</w:t>
            </w:r>
          </w:p>
          <w:p>
            <w:pPr>
              <w:spacing w:after="160"/>
            </w:pPr>
            <w:r>
              <w:rPr>
                <w:rStyle w:val="row-content-rich-text"/>
              </w:rPr>
              <w:t xml:space="preserve">Calculated separately for each of the two age groups, and for all Australians, Indigenous and non-Indigenous Australians.</w:t>
            </w:r>
          </w:p>
          <w:p>
            <w:pPr>
              <w:spacing w:after="160"/>
            </w:pPr>
            <w:r>
              <w:rPr>
                <w:rStyle w:val="row-content-rich-text"/>
              </w:rPr>
              <w:t xml:space="preserve">Variability bands are to be calculated for single-year rates and aggregate rates by state/territory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pPr>
            <w:r>
              <w:rPr>
                <w:rStyle w:val="row-content-rich-text"/>
              </w:rPr>
              <w:t xml:space="preserve">         CI = confidence interval</w:t>
            </w:r>
          </w:p>
          <w:p>
            <w:pPr>
              <w:spacing w:after="160"/>
            </w:pPr>
            <w:r>
              <w:rPr>
                <w:rStyle w:val="row-content-rich-text"/>
              </w:rPr>
              <w:t xml:space="preserve">         CR = crude rate</w:t>
            </w:r>
          </w:p>
          <w:p>
            <w:pPr>
              <w:spacing w:after="160"/>
            </w:pPr>
            <w:r>
              <w:rPr>
                <w:rStyle w:val="row-content-rich-text"/>
              </w:rPr>
              <w:t xml:space="preserve">Presented as:</w:t>
            </w:r>
          </w:p>
          <w:p>
            <w:pPr>
              <w:pStyle w:val="ListParagraph"/>
              <w:numPr>
                <w:ilvl w:val="0"/>
                <w:numId w:val="2"/>
              </w:numPr>
            </w:pPr>
            <w:r>
              <w:rPr>
                <w:rStyle w:val="row-content-rich-text"/>
              </w:rPr>
              <w:t xml:space="preserve">number of deaths per 1,000 live births (infant)</w:t>
            </w:r>
          </w:p>
          <w:p>
            <w:pPr>
              <w:pStyle w:val="ListParagraph"/>
              <w:numPr>
                <w:ilvl w:val="0"/>
                <w:numId w:val="2"/>
              </w:numPr>
            </w:pPr>
            <w:r>
              <w:rPr>
                <w:rStyle w:val="row-content-rich-text"/>
              </w:rPr>
              <w:t xml:space="preserve">number of deaths per 100,000 population (child).</w:t>
            </w:r>
          </w:p>
          <w:p>
            <w:pPr>
              <w:spacing w:after="160"/>
            </w:pPr>
            <w:r>
              <w:rPr>
                <w:rStyle w:val="row-content-rich-text"/>
              </w:rPr>
              <w:t xml:space="preserve">Rate ratios and rate differences are calculated for comparing Indigenous and non-Indigenous Australians.</w:t>
            </w:r>
          </w:p>
          <w:p>
            <w:pPr>
              <w:spacing w:after="160"/>
            </w:pPr>
            <w:r>
              <w:rPr>
                <w:rStyle w:val="row-content-rich-text"/>
              </w:rPr>
              <w:t xml:space="preserve">Infant mortality rates: The rates for a single year use single year infant deaths for the numerator, and the number of single year live births for the denominator. The rates for 3 or 5 years of data combined use the average of 3 or 5 years data for the numerator, and the number of single year live births in the midpoint year of the 3 or 5 years for the denominator.</w:t>
            </w:r>
          </w:p>
          <w:p>
            <w:pPr>
              <w:spacing w:after="160"/>
            </w:pPr>
            <w:r>
              <w:rPr>
                <w:rStyle w:val="row-content-rich-text"/>
              </w:rPr>
              <w:t xml:space="preserve">Child mortality rates: The rates for 3 or 5 years of data combined use the average of 3 or 5 years data for the numerator and mid-point for the denominator. Child mortality rates for single years are not part of NHA performance reporting but are available on request and use single year data both for the numerator and denominator.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Number of deaths among infants (&lt;1 year old).</w:t>
            </w:r>
          </w:p>
          <w:p>
            <w:pPr>
              <w:pStyle w:val="ListParagraph"/>
              <w:numPr>
                <w:ilvl w:val="0"/>
                <w:numId w:val="3"/>
              </w:numPr>
            </w:pPr>
            <w:r>
              <w:rPr>
                <w:rStyle w:val="row-content-rich-text"/>
              </w:rPr>
              <w:t xml:space="preserve">Number of deaths among children (0–4 year 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0549b2ae8f4444">
              <w:r>
                <w:rPr>
                  <w:rStyle w:val="Hyperlink"/>
                </w:rPr>
                <w:t xml:space="preserve">Person—age, total years N[NN]</w:t>
              </w:r>
            </w:hyperlink>
          </w:p>
          <w:p>
            <w:r>
              <w:rPr>
                <w:rStyle w:val="row-content"/>
                <w:b/>
              </w:rPr>
              <w:t xml:space="preserve">Data Source</w:t>
            </w:r>
          </w:p>
          <w:p>
            <w:hyperlink w:history="true" r:id="R6a633aaad1c2493c">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Number of live births; and</w:t>
            </w:r>
          </w:p>
          <w:p>
            <w:pPr>
              <w:pStyle w:val="ListParagraph"/>
              <w:numPr>
                <w:ilvl w:val="0"/>
                <w:numId w:val="4"/>
              </w:numPr>
            </w:pPr>
            <w:r>
              <w:rPr>
                <w:rStyle w:val="row-content-rich-text"/>
              </w:rPr>
              <w:t xml:space="preserve">Population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2cf71eadd7a545af">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Used for the denominator for the mortality rate for Indigenous children aged 1–4, and as a component of the denominator for the mortality rate for Indigenous children aged 0–4.</w:t>
            </w:r>
          </w:p>
          <w:p>
            <w:r>
              <w:rPr>
                <w:rStyle w:val="row-content"/>
              </w:rPr>
              <w:t xml:space="preserve"> </w:t>
            </w:r>
          </w:p>
          <w:p>
            <w:r>
              <w:rPr>
                <w:rStyle w:val="row-content"/>
                <w:b/>
                <w:color w:val="000000"/>
              </w:rPr>
              <w:t xml:space="preserve">Data Element / Data Set</w:t>
            </w:r>
          </w:p>
          <w:p>
            <w:hyperlink w:history="true" r:id="R9962d44985a94910">
              <w:r>
                <w:rPr>
                  <w:rStyle w:val="Hyperlink"/>
                </w:rPr>
                <w:t xml:space="preserve">Birth—birth status, code N</w:t>
              </w:r>
            </w:hyperlink>
          </w:p>
          <w:p>
            <w:r>
              <w:rPr>
                <w:rStyle w:val="row-content"/>
                <w:b/>
              </w:rPr>
              <w:t xml:space="preserve">Data Source</w:t>
            </w:r>
          </w:p>
          <w:p>
            <w:hyperlink w:history="true" r:id="Rd14e09351d7a4843">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as the main component of the denominator for the infant mortality rate. Include live births only, i.e. value = 1.</w:t>
            </w:r>
          </w:p>
          <w:p>
            <w:r>
              <w:rPr>
                <w:rStyle w:val="row-content"/>
              </w:rPr>
              <w:t xml:space="preserve"> </w:t>
            </w:r>
          </w:p>
          <w:p>
            <w:r>
              <w:rPr>
                <w:rStyle w:val="row-content"/>
                <w:b/>
                <w:color w:val="000000"/>
              </w:rPr>
              <w:t xml:space="preserve">Data Element / Data Set</w:t>
            </w:r>
          </w:p>
          <w:p>
            <w:hyperlink w:history="true" r:id="R9251649fa9e942a4">
              <w:r>
                <w:rPr>
                  <w:rStyle w:val="Hyperlink"/>
                </w:rPr>
                <w:t xml:space="preserve">Person—estimated resident population of Australia, total people N[N(7)]</w:t>
              </w:r>
            </w:hyperlink>
          </w:p>
          <w:p>
            <w:r>
              <w:rPr>
                <w:rStyle w:val="row-content"/>
                <w:b/>
              </w:rPr>
              <w:t xml:space="preserve">Data Source</w:t>
            </w:r>
          </w:p>
          <w:p>
            <w:hyperlink w:history="true" r:id="R5070ff1c2d8e44cb">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Used for the denominator for the mortality rate for children aged 1–4, and as a component of the denominator for the mortality rate for children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2018–2020—Nationally and state/territory</w:t>
            </w:r>
          </w:p>
          <w:p>
            <w:pPr>
              <w:spacing w:after="160"/>
            </w:pPr>
            <w:r>
              <w:rPr>
                <w:rStyle w:val="row-content-rich-text"/>
              </w:rPr>
              <w:t xml:space="preserve">2016–2020—State and territory, by Indigenous status.</w:t>
            </w:r>
          </w:p>
          <w:p>
            <w:pPr>
              <w:spacing w:after="160"/>
            </w:pPr>
            <w:r>
              <w:rPr>
                <w:rStyle w:val="row-content-rich-text"/>
              </w:rPr>
              <w:t xml:space="preserve">2020—Nationally, infant (&lt;1 year old).</w:t>
            </w:r>
          </w:p>
          <w:p>
            <w:pPr>
              <w:spacing w:after="160"/>
            </w:pPr>
            <w:r>
              <w:rPr>
                <w:rStyle w:val="row-content-rich-text"/>
              </w:rPr>
              <w:t xml:space="preserve">2020—Nationally, children (0–4 year olds) (not reported).</w:t>
            </w:r>
          </w:p>
          <w:p>
            <w:pPr>
              <w:spacing w:after="160"/>
            </w:pPr>
            <w:r>
              <w:rPr>
                <w:rStyle w:val="row-content-rich-text"/>
              </w:rPr>
              <w:t xml:space="preserve">2020—Nationally, by Indigenous status (not reported).</w:t>
            </w:r>
          </w:p>
          <w:p>
            <w:pPr>
              <w:spacing w:after="160"/>
            </w:pPr>
            <w:r>
              <w:rPr>
                <w:rStyle w:val="row-content-rich-text"/>
              </w:rPr>
              <w:t xml:space="preserve">2020—Nationally, by remoteness children (0–4 year olds) (Major Cities, Inner and Outer Regional combined, Remote and Very remote combined)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Western Australia, South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49415a9e9b4963">
              <w:r>
                <w:rPr>
                  <w:rStyle w:val="Hyperlink"/>
                </w:rPr>
                <w:t xml:space="preserve">Person—age, total years N[NN]</w:t>
              </w:r>
            </w:hyperlink>
          </w:p>
          <w:p>
            <w:r>
              <w:rPr>
                <w:rStyle w:val="row-content"/>
                <w:b/>
              </w:rPr>
              <w:t xml:space="preserve">Data Source</w:t>
            </w:r>
          </w:p>
          <w:p>
            <w:hyperlink w:history="true" r:id="R48b2e11ce7084c66">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a0063dcf16c4377">
              <w:r>
                <w:rPr>
                  <w:rStyle w:val="Hyperlink"/>
                </w:rPr>
                <w:t xml:space="preserve">Person—Indigenous status, code N</w:t>
              </w:r>
            </w:hyperlink>
          </w:p>
          <w:p>
            <w:r>
              <w:rPr>
                <w:rStyle w:val="row-content"/>
                <w:b/>
              </w:rPr>
              <w:t xml:space="preserve">Data Source</w:t>
            </w:r>
          </w:p>
          <w:p>
            <w:hyperlink w:history="true" r:id="R76bc06f1797d401f">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ea06633d114714">
              <w:r>
                <w:rPr>
                  <w:rStyle w:val="Hyperlink"/>
                </w:rPr>
                <w:t xml:space="preserve">Person—area of usual residence, statistical area level 2 (SA2) code (ASGS 2016) N(9)</w:t>
              </w:r>
            </w:hyperlink>
          </w:p>
          <w:p>
            <w:r>
              <w:rPr>
                <w:rStyle w:val="row-content"/>
                <w:b/>
              </w:rPr>
              <w:t xml:space="preserve">Data Source</w:t>
            </w:r>
          </w:p>
          <w:p>
            <w:hyperlink w:history="true" r:id="R161d753e56014aca">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w:t>
            </w:r>
          </w:p>
          <w:p>
            <w:pPr>
              <w:spacing w:after="160"/>
            </w:pPr>
            <w:r>
              <w:rPr>
                <w:rStyle w:val="row-content-rich-text"/>
              </w:rPr>
              <w:t xml:space="preserve">Because of small numbers of deaths each year data are presented in 3-year (total population) or 5-year (Indigenous population) groupings (state and territory only). Infant mortality rates for the Indigenous population are also presented at the state and territory level in 3-year groupings.</w:t>
            </w:r>
          </w:p>
          <w:p>
            <w:pPr>
              <w:spacing w:after="160"/>
            </w:pPr>
            <w:r>
              <w:rPr>
                <w:rStyle w:val="row-content-rich-text"/>
              </w:rPr>
              <w:t xml:space="preserve">Single year data are reported for time series analysis (total population, infants only).</w:t>
            </w:r>
          </w:p>
          <w:p>
            <w:pPr>
              <w:spacing w:after="160"/>
            </w:pPr>
            <w:r>
              <w:rPr>
                <w:rStyle w:val="row-content-rich-text"/>
              </w:rPr>
              <w:t xml:space="preserve">A system error affected the reporting of Western Australia Aboriginal and Torres Strait Islander death registrations for 2007, 2008 and 2009 which affected the WA and national death rates reported for the 2011 and 2012 COAG Reform Council reports. These data have been revised for 2013 reporting.</w:t>
            </w:r>
          </w:p>
          <w:p>
            <w:pPr>
              <w:spacing w:after="160"/>
            </w:pPr>
            <w:r>
              <w:rPr>
                <w:rStyle w:val="row-content-rich-text"/>
              </w:rPr>
              <w:t xml:space="preserve">Data by remoteness may be available, pending assessment of data quality.</w:t>
            </w:r>
          </w:p>
          <w:p>
            <w:pPr>
              <w:spacing w:after="160"/>
            </w:pPr>
            <w:r>
              <w:rPr>
                <w:rStyle w:val="row-content-rich-text"/>
              </w:rPr>
              <w:t xml:space="preserve">Although most deaths of Aboriginal and Torres Strait Islander people are registered, it is likely that some are not accurately identified as Aboriginal and Torres Strait Islander. Therefore, these data are likely to underestimate the Aboriginal and Torres Strait Islander population.</w:t>
            </w:r>
          </w:p>
          <w:p>
            <w:pPr>
              <w:spacing w:after="160"/>
            </w:pPr>
            <w:r>
              <w:rPr>
                <w:rStyle w:val="row-content-rich-text"/>
              </w:rPr>
              <w:t xml:space="preserve">Data are based on the state or territory of usual residence of the deceased, regardless of where in Australia the death occurred or was registered.</w:t>
            </w:r>
          </w:p>
          <w:p>
            <w:pPr>
              <w:spacing w:after="160"/>
            </w:pPr>
            <w:r>
              <w:rPr>
                <w:rStyle w:val="row-content-rich-text"/>
              </w:rPr>
              <w:t xml:space="preserve">Registrars of Births, Deaths and Marriages in New South Wales, Queensland and the Northern Territory took a number of initiatives in recent years to improve processing systems and timeliness of registrations of births. These issues affected the birth counts of these jurisdictions. Care should therefore be taken when interpreting changes in mortality rates for these jurisdictions and national totals.</w:t>
            </w:r>
          </w:p>
          <w:p>
            <w:pPr/>
            <w:r>
              <w:rPr>
                <w:rStyle w:val="row-content-rich-text"/>
              </w:rPr>
              <w:t xml:space="preserve">Further details on infant and child mortality among Indigenous Australians are available from the Aboriginal and Torres Strait Islander Health Performance Framework </w:t>
            </w:r>
            <w:hyperlink w:history="true" r:id="R246b94d7eda94cc9">
              <w:r>
                <w:rPr>
                  <w:rStyle w:val="Hyperlink"/>
                </w:rPr>
                <w:t xml:space="preserve">(measure 1.20: Infant and child mortality</w:t>
              </w:r>
            </w:hyperlink>
            <w:r>
              <w:rPr>
                <w:rStyle w:val="row-content-rich-text"/>
              </w:rPr>
              <w:t xml:space="preserve"> and </w:t>
            </w:r>
            <w:hyperlink w:history="true" r:id="R440a7f4f26ad4855">
              <w:r>
                <w:rPr>
                  <w:rStyle w:val="Hyperlink"/>
                </w:rPr>
                <w:t xml:space="preserve">measure 1.21: Perinatal mortality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dd7ad0d1e8f4308">
              <w:r>
                <w:rPr>
                  <w:rStyle w:val="Hyperlink"/>
                </w:rPr>
                <w:t xml:space="preserve">Deaths</w:t>
              </w:r>
            </w:hyperlink>
            <w:r>
              <w:br/>
            </w:r>
            <w:r>
              <w:br/>
            </w:r>
          </w:p>
          <w:p>
            <w:hyperlink w:history="true" r:id="Rca09bd33e296452a">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aa9622721874aed">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fb662c1685845e0">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5584745f2064863">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0fb050bce2e46f5">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4893f4d9584a46d1">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5b5fc4eeaf4f79">
              <w:r>
                <w:rPr>
                  <w:rStyle w:val="Hyperlink"/>
                </w:rPr>
                <w:t xml:space="preserve">National Healthcare Agreement: PI 07–Infant and young child mortality rate, 2021</w:t>
              </w:r>
            </w:hyperlink>
          </w:p>
          <w:p>
            <w:pPr>
              <w:pStyle w:val="registration-status"/>
              <w:spacing w:before="0" w:after="0"/>
            </w:pPr>
            <w:hyperlink w:history="true" r:id="Rbf7d758470a94c0e">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615d8c58961b458b">
              <w:r>
                <w:rPr>
                  <w:rStyle w:val="Hyperlink"/>
                </w:rPr>
                <w:t xml:space="preserve">Australian Health Performance Framework: PI 2.1.6–Potentially avoidable deaths, 2020</w:t>
              </w:r>
            </w:hyperlink>
          </w:p>
          <w:p>
            <w:pPr>
              <w:pStyle w:val="registration-status"/>
              <w:spacing w:before="0" w:after="0"/>
            </w:pPr>
            <w:hyperlink w:history="true" r:id="Ref64a3601b074444">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dfe9ae02d80141b9">
              <w:r>
                <w:rPr>
                  <w:rStyle w:val="Hyperlink"/>
                </w:rPr>
                <w:t xml:space="preserve">Australian Health Performance Framework: PI 2.1.6–Potentially avoidable deaths, 2021</w:t>
              </w:r>
            </w:hyperlink>
          </w:p>
          <w:p>
            <w:pPr>
              <w:pStyle w:val="registration-status"/>
              <w:spacing w:before="0" w:after="0"/>
            </w:pPr>
            <w:hyperlink w:history="true" r:id="Rb136da7725cc43f7">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199b581e87c346dc">
              <w:r>
                <w:rPr>
                  <w:rStyle w:val="Hyperlink"/>
                </w:rPr>
                <w:t xml:space="preserve">Australian Health Performance Framework: PI 3.4.1–Infant and young child mortality rate, 2020</w:t>
              </w:r>
            </w:hyperlink>
          </w:p>
          <w:p>
            <w:pPr>
              <w:pStyle w:val="registration-status"/>
              <w:spacing w:before="0" w:after="0"/>
            </w:pPr>
            <w:hyperlink w:history="true" r:id="Rbd96430a84764c35">
              <w:r>
                <w:rPr>
                  <w:rStyle w:val="Hyperlink"/>
                  <w:color w:val="244061"/>
                </w:rPr>
                <w:t xml:space="preserve">Health</w:t>
              </w:r>
            </w:hyperlink>
            <w:r>
              <w:rPr>
                <w:rStyle w:val="row-content"/>
                <w:color w:val="244061"/>
              </w:rPr>
              <w:t xml:space="preserve">, Superseded 11/07/2023</w:t>
            </w:r>
          </w:p>
          <w:p>
            <w:r>
              <w:br/>
            </w:r>
            <w:r>
              <w:rPr>
                <w:rStyle w:val="row-content"/>
              </w:rPr>
              <w:t xml:space="preserve">See also </w:t>
            </w:r>
            <w:hyperlink w:history="true" r:id="Ra4b6602bb0094120">
              <w:r>
                <w:rPr>
                  <w:rStyle w:val="Hyperlink"/>
                </w:rPr>
                <w:t xml:space="preserve">Australian Health Performance Framework: PI 3.4.1–Infant and young child mortality rate, 2021</w:t>
              </w:r>
            </w:hyperlink>
          </w:p>
          <w:p>
            <w:pPr>
              <w:pStyle w:val="registration-status"/>
              <w:spacing w:before="0" w:after="0"/>
            </w:pPr>
            <w:hyperlink w:history="true" r:id="R4b55ca163b5a4669">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b21f88a5f6524ad9">
              <w:r>
                <w:rPr>
                  <w:rStyle w:val="Hyperlink"/>
                </w:rPr>
                <w:t xml:space="preserve">National Healthcare Agreement: PI 01–Proportion of babies born of low birth weight, 2022</w:t>
              </w:r>
            </w:hyperlink>
          </w:p>
          <w:p>
            <w:pPr>
              <w:pStyle w:val="registration-status"/>
              <w:spacing w:before="0" w:after="0"/>
            </w:pPr>
            <w:hyperlink w:history="true" r:id="R7cf59b0294d64fa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247c0e92ed924800">
              <w:r>
                <w:rPr>
                  <w:rStyle w:val="Hyperlink"/>
                </w:rPr>
                <w:t xml:space="preserve">National Healthcare Agreement: PI 06–Life expectancy, 2022</w:t>
              </w:r>
            </w:hyperlink>
          </w:p>
          <w:p>
            <w:pPr>
              <w:pStyle w:val="registration-status"/>
              <w:spacing w:before="0" w:after="0"/>
            </w:pPr>
            <w:hyperlink w:history="true" r:id="Rbe70a321604941e4">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aec3678d7fc149bc">
              <w:r>
                <w:rPr>
                  <w:rStyle w:val="Hyperlink"/>
                </w:rPr>
                <w:t xml:space="preserve">National Healthcare Agreement: PI 08–Major causes of death, 2022</w:t>
              </w:r>
            </w:hyperlink>
          </w:p>
          <w:p>
            <w:pPr>
              <w:pStyle w:val="registration-status"/>
              <w:spacing w:before="0" w:after="0"/>
            </w:pPr>
            <w:hyperlink w:history="true" r:id="Ra4acb71125ab4cc1">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4067f50b46e24555">
              <w:r>
                <w:rPr>
                  <w:rStyle w:val="Hyperlink"/>
                </w:rPr>
                <w:t xml:space="preserve">National Healthcare Agreement: PI 16–Potentially avoidable deaths, 2022</w:t>
              </w:r>
            </w:hyperlink>
          </w:p>
          <w:p>
            <w:pPr>
              <w:pStyle w:val="registration-status"/>
              <w:spacing w:before="0" w:after="0"/>
            </w:pPr>
            <w:hyperlink w:history="true" r:id="R80c33fff46a740c7">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26cb689ffb0f479f">
              <w:r>
                <w:rPr>
                  <w:rStyle w:val="Hyperlink"/>
                </w:rPr>
                <w:t xml:space="preserve">National Indigenous Reform Agreement: PI 06-Under five mortality rate by leading cause, 2020</w:t>
              </w:r>
            </w:hyperlink>
          </w:p>
          <w:p>
            <w:pPr>
              <w:pStyle w:val="registration-status"/>
              <w:spacing w:before="0" w:after="0"/>
            </w:pPr>
            <w:hyperlink w:history="true" r:id="Rdcc24a87d2fa424c">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3bbe9ceb720c4e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88485654f248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be9ceb720c4ee2" /><Relationship Type="http://schemas.openxmlformats.org/officeDocument/2006/relationships/header" Target="/word/header1.xml" Id="R2a4028c18eab49a5" /><Relationship Type="http://schemas.openxmlformats.org/officeDocument/2006/relationships/settings" Target="/word/settings.xml" Id="R611fbacb2d7046ce" /><Relationship Type="http://schemas.openxmlformats.org/officeDocument/2006/relationships/styles" Target="/word/styles.xml" Id="R754ca38af3674eba" /><Relationship Type="http://schemas.openxmlformats.org/officeDocument/2006/relationships/numbering" Target="/word/numbering.xml" Id="R0f538edeeddf4fdd" /><Relationship Type="http://schemas.openxmlformats.org/officeDocument/2006/relationships/hyperlink" Target="https://meteor.aihw.gov.au/RegistrationAuthority/12" TargetMode="External" Id="R0d211f992e22488d" /><Relationship Type="http://schemas.openxmlformats.org/officeDocument/2006/relationships/hyperlink" Target="https://meteor.aihw.gov.au/content/740910" TargetMode="External" Id="Rc32fcd8af0374fe8" /><Relationship Type="http://schemas.openxmlformats.org/officeDocument/2006/relationships/hyperlink" Target="https://meteor.aihw.gov.au/RegistrationAuthority/12" TargetMode="External" Id="R56b965f812d34cb3" /><Relationship Type="http://schemas.openxmlformats.org/officeDocument/2006/relationships/hyperlink" Target="https://meteor.aihw.gov.au/content/393136" TargetMode="External" Id="R9f30db3a5d444a65" /><Relationship Type="http://schemas.openxmlformats.org/officeDocument/2006/relationships/hyperlink" Target="https://meteor.aihw.gov.au/RegistrationAuthority/12" TargetMode="External" Id="Reca1438a5e994604" /><Relationship Type="http://schemas.openxmlformats.org/officeDocument/2006/relationships/hyperlink" Target="https://meteor.aihw.gov.au/content/303794" TargetMode="External" Id="R9e0549b2ae8f4444" /><Relationship Type="http://schemas.openxmlformats.org/officeDocument/2006/relationships/hyperlink" Target="https://meteor.aihw.gov.au/content/394481" TargetMode="External" Id="R6a633aaad1c2493c" /><Relationship Type="http://schemas.openxmlformats.org/officeDocument/2006/relationships/hyperlink" Target="https://meteor.aihw.gov.au/content/719790" TargetMode="External" Id="R2cf71eadd7a545af" /><Relationship Type="http://schemas.openxmlformats.org/officeDocument/2006/relationships/hyperlink" Target="https://meteor.aihw.gov.au/content/269949" TargetMode="External" Id="R9962d44985a94910" /><Relationship Type="http://schemas.openxmlformats.org/officeDocument/2006/relationships/hyperlink" Target="https://meteor.aihw.gov.au/content/394483" TargetMode="External" Id="Rd14e09351d7a4843" /><Relationship Type="http://schemas.openxmlformats.org/officeDocument/2006/relationships/hyperlink" Target="https://meteor.aihw.gov.au/content/388656" TargetMode="External" Id="R9251649fa9e942a4" /><Relationship Type="http://schemas.openxmlformats.org/officeDocument/2006/relationships/hyperlink" Target="https://meteor.aihw.gov.au/content/704699" TargetMode="External" Id="R5070ff1c2d8e44cb" /><Relationship Type="http://schemas.openxmlformats.org/officeDocument/2006/relationships/hyperlink" Target="https://meteor.aihw.gov.au/content/303794" TargetMode="External" Id="R8049415a9e9b4963" /><Relationship Type="http://schemas.openxmlformats.org/officeDocument/2006/relationships/hyperlink" Target="https://meteor.aihw.gov.au/content/394481" TargetMode="External" Id="R48b2e11ce7084c66" /><Relationship Type="http://schemas.openxmlformats.org/officeDocument/2006/relationships/hyperlink" Target="https://meteor.aihw.gov.au/content/602543" TargetMode="External" Id="Rda0063dcf16c4377" /><Relationship Type="http://schemas.openxmlformats.org/officeDocument/2006/relationships/hyperlink" Target="https://meteor.aihw.gov.au/content/394481" TargetMode="External" Id="R76bc06f1797d401f" /><Relationship Type="http://schemas.openxmlformats.org/officeDocument/2006/relationships/hyperlink" Target="https://meteor.aihw.gov.au/content/659725" TargetMode="External" Id="R49ea06633d114714" /><Relationship Type="http://schemas.openxmlformats.org/officeDocument/2006/relationships/hyperlink" Target="https://meteor.aihw.gov.au/content/394481" TargetMode="External" Id="R161d753e56014aca" /><Relationship Type="http://schemas.openxmlformats.org/officeDocument/2006/relationships/hyperlink" Target="https://indigenoushpf.gov.au/measures/1-20-infant-child-mortality" TargetMode="External" Id="R246b94d7eda94cc9" /><Relationship Type="http://schemas.openxmlformats.org/officeDocument/2006/relationships/hyperlink" Target="https://indigenoushpf.gov.au/measures/1-21-perinatal-mortality" TargetMode="External" Id="R440a7f4f26ad4855" /><Relationship Type="http://schemas.openxmlformats.org/officeDocument/2006/relationships/hyperlink" Target="https://meteor.aihw.gov.au/content/392575" TargetMode="External" Id="Redd7ad0d1e8f4308" /><Relationship Type="http://schemas.openxmlformats.org/officeDocument/2006/relationships/hyperlink" Target="https://meteor.aihw.gov.au/content/392587" TargetMode="External" Id="Rca09bd33e296452a" /><Relationship Type="http://schemas.openxmlformats.org/officeDocument/2006/relationships/hyperlink" Target="https://meteor.aihw.gov.au/content/719790" TargetMode="External" Id="Rcaa9622721874aed" /><Relationship Type="http://schemas.openxmlformats.org/officeDocument/2006/relationships/hyperlink" Target="https://meteor.aihw.gov.au/content/394481" TargetMode="External" Id="R4fb662c1685845e0" /><Relationship Type="http://schemas.openxmlformats.org/officeDocument/2006/relationships/hyperlink" Target="https://meteor.aihw.gov.au/content/394483" TargetMode="External" Id="R85584745f2064863" /><Relationship Type="http://schemas.openxmlformats.org/officeDocument/2006/relationships/hyperlink" Target="https://meteor.aihw.gov.au/content/704699" TargetMode="External" Id="Re0fb050bce2e46f5" /><Relationship Type="http://schemas.openxmlformats.org/officeDocument/2006/relationships/hyperlink" Target="https://indigenoushpf.gov.au/" TargetMode="External" Id="R4893f4d9584a46d1" /><Relationship Type="http://schemas.openxmlformats.org/officeDocument/2006/relationships/hyperlink" Target="https://meteor.aihw.gov.au/content/725815" TargetMode="External" Id="R575b5fc4eeaf4f79" /><Relationship Type="http://schemas.openxmlformats.org/officeDocument/2006/relationships/hyperlink" Target="https://meteor.aihw.gov.au/RegistrationAuthority/12" TargetMode="External" Id="Rbf7d758470a94c0e" /><Relationship Type="http://schemas.openxmlformats.org/officeDocument/2006/relationships/hyperlink" Target="https://meteor.aihw.gov.au/content/728337" TargetMode="External" Id="R615d8c58961b458b" /><Relationship Type="http://schemas.openxmlformats.org/officeDocument/2006/relationships/hyperlink" Target="https://meteor.aihw.gov.au/RegistrationAuthority/12" TargetMode="External" Id="Ref64a3601b074444" /><Relationship Type="http://schemas.openxmlformats.org/officeDocument/2006/relationships/hyperlink" Target="https://meteor.aihw.gov.au/content/765884" TargetMode="External" Id="Rdfe9ae02d80141b9" /><Relationship Type="http://schemas.openxmlformats.org/officeDocument/2006/relationships/hyperlink" Target="https://meteor.aihw.gov.au/RegistrationAuthority/12" TargetMode="External" Id="Rb136da7725cc43f7" /><Relationship Type="http://schemas.openxmlformats.org/officeDocument/2006/relationships/hyperlink" Target="https://meteor.aihw.gov.au/content/728472" TargetMode="External" Id="R199b581e87c346dc" /><Relationship Type="http://schemas.openxmlformats.org/officeDocument/2006/relationships/hyperlink" Target="https://meteor.aihw.gov.au/RegistrationAuthority/12" TargetMode="External" Id="Rbd96430a84764c35" /><Relationship Type="http://schemas.openxmlformats.org/officeDocument/2006/relationships/hyperlink" Target="https://meteor.aihw.gov.au/content/765819" TargetMode="External" Id="Ra4b6602bb0094120" /><Relationship Type="http://schemas.openxmlformats.org/officeDocument/2006/relationships/hyperlink" Target="https://meteor.aihw.gov.au/RegistrationAuthority/12" TargetMode="External" Id="R4b55ca163b5a4669" /><Relationship Type="http://schemas.openxmlformats.org/officeDocument/2006/relationships/hyperlink" Target="https://meteor.aihw.gov.au/content/740894" TargetMode="External" Id="Rb21f88a5f6524ad9" /><Relationship Type="http://schemas.openxmlformats.org/officeDocument/2006/relationships/hyperlink" Target="https://meteor.aihw.gov.au/RegistrationAuthority/12" TargetMode="External" Id="R7cf59b0294d64fad" /><Relationship Type="http://schemas.openxmlformats.org/officeDocument/2006/relationships/hyperlink" Target="https://meteor.aihw.gov.au/content/740884" TargetMode="External" Id="R247c0e92ed924800" /><Relationship Type="http://schemas.openxmlformats.org/officeDocument/2006/relationships/hyperlink" Target="https://meteor.aihw.gov.au/RegistrationAuthority/12" TargetMode="External" Id="Rbe70a321604941e4" /><Relationship Type="http://schemas.openxmlformats.org/officeDocument/2006/relationships/hyperlink" Target="https://meteor.aihw.gov.au/content/740880" TargetMode="External" Id="Raec3678d7fc149bc" /><Relationship Type="http://schemas.openxmlformats.org/officeDocument/2006/relationships/hyperlink" Target="https://meteor.aihw.gov.au/RegistrationAuthority/12" TargetMode="External" Id="Ra4acb71125ab4cc1" /><Relationship Type="http://schemas.openxmlformats.org/officeDocument/2006/relationships/hyperlink" Target="https://meteor.aihw.gov.au/content/740864" TargetMode="External" Id="R4067f50b46e24555" /><Relationship Type="http://schemas.openxmlformats.org/officeDocument/2006/relationships/hyperlink" Target="https://meteor.aihw.gov.au/RegistrationAuthority/12" TargetMode="External" Id="R80c33fff46a740c7" /><Relationship Type="http://schemas.openxmlformats.org/officeDocument/2006/relationships/hyperlink" Target="https://meteor.aihw.gov.au/content/718482" TargetMode="External" Id="R26cb689ffb0f479f" /><Relationship Type="http://schemas.openxmlformats.org/officeDocument/2006/relationships/hyperlink" Target="https://meteor.aihw.gov.au/RegistrationAuthority/6" TargetMode="External" Id="Rdcc24a87d2fa424c" /></Relationships>
</file>

<file path=word/_rels/header1.xml.rels>&#65279;<?xml version="1.0" encoding="utf-8"?><Relationships xmlns="http://schemas.openxmlformats.org/package/2006/relationships"><Relationship Type="http://schemas.openxmlformats.org/officeDocument/2006/relationships/image" Target="/media/image.png" Id="R0888485654f2480f" /></Relationships>
</file>