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b44cd870a4765" /></Relationships>
</file>

<file path=word/document.xml><?xml version="1.0" encoding="utf-8"?>
<w:document xmlns:r="http://schemas.openxmlformats.org/officeDocument/2006/relationships" xmlns:w="http://schemas.openxmlformats.org/wordprocessingml/2006/main">
  <w:body>
    <w:p>
      <w:pPr>
        <w:pStyle w:val="Title"/>
      </w:pPr>
      <w:r>
        <w:t>K10 Screening Scale for Psychological Distress last 4 weeks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Screening Scale for Psychological Distress last 4 weeks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bc0eabbc24f8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self-report of global measure of "non-specific psycho-social distress" based on questions about the level of nervousness, agitation, psychological fatigue, and depression in the last 4 weeks. It includes the 10 questions specified in the K10 as well as 4 additional, supplementary questions (K10+). </w:t>
            </w:r>
          </w:p>
          <w:p>
            <w:pPr/>
            <w:r>
              <w:rPr>
                <w:rStyle w:val="row-content-rich-text"/>
              </w:rPr>
              <w:t xml:space="preserve">The K10+ is a follow-up questionnaire which is intended to show change in consumer outcomes since the initial K10 questionnaire was administered.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K10 Screening Scale for Psychological Distress </w:t>
            </w:r>
            <w:r>
              <w:rPr>
                <w:rStyle w:val="row-content-rich-text"/>
              </w:rPr>
              <w:t xml:space="preserve">last 4 weeks version (K10+) is a consumer-rated measure and should be offered to adult and older person consumers at review and discharge from inpatient, residential and ambulatory settings.</w:t>
            </w:r>
          </w:p>
          <w:p>
            <w:pPr/>
            <w:r>
              <w:rPr>
                <w:rStyle w:val="row-content-rich-text"/>
              </w:rPr>
              <w:t xml:space="preserve">The K10+ includes all of the questions included in the </w:t>
            </w:r>
            <w:r>
              <w:rPr>
                <w:rStyle w:val="row-content-rich-text"/>
              </w:rPr>
              <w:t xml:space="preserve">K10</w:t>
            </w:r>
            <w:r>
              <w:rPr>
                <w:rStyle w:val="row-content-rich-text"/>
              </w:rPr>
              <w:t xml:space="preserve"> as well as 4 subsequent questions which are conditional on the responses to the first 10 questions. None of the 4 additional questions need to be answered if "none of the time" (which scores as "1") was recorded for all of the initial ten questions.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Barker, P.R., Colpe, L.J., Epstein, J.F., Gfroerer, J.C., Hiripi, E., Howes, M.J, Normand, S-L.T., Manderscheid, R.W., Walters, E.E., Zaslavsky, A.M. (2003). Screening for serious mental illness in the general population. Archives of General Psychiatry. 60(2), 184-189.</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361b1c7b774d1a">
              <w:r>
                <w:rPr>
                  <w:rStyle w:val="Hyperlink"/>
                </w:rPr>
                <w:t xml:space="preserve">Collection occasion—measure completion status, mental health code N</w:t>
              </w:r>
            </w:hyperlink>
          </w:p>
          <w:p>
            <w:pPr>
              <w:pStyle w:val="registration-status"/>
              <w:spacing w:before="0" w:after="0"/>
            </w:pPr>
            <w:hyperlink w:history="true" r:id="Rcf8ffad9a5054d61">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8c1eebab47a34482">
              <w:r>
                <w:rPr>
                  <w:rStyle w:val="Hyperlink"/>
                </w:rPr>
                <w:t xml:space="preserve">Collection occasion—survey version, mental health code XX[XXX]</w:t>
              </w:r>
            </w:hyperlink>
          </w:p>
          <w:p>
            <w:pPr>
              <w:pStyle w:val="registration-status"/>
              <w:spacing w:before="0" w:after="0"/>
            </w:pPr>
            <w:hyperlink w:history="true" r:id="Rb71ceeff20ed42bb">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b99649e4fb4143">
              <w:r>
                <w:rPr>
                  <w:rStyle w:val="Hyperlink"/>
                </w:rPr>
                <w:t xml:space="preserve">National Outcomes and Casemix Collection NBEDS 2023-24</w:t>
              </w:r>
            </w:hyperlink>
          </w:p>
          <w:p>
            <w:pPr>
              <w:pStyle w:val="registration-status"/>
              <w:spacing w:before="0" w:after="0"/>
            </w:pPr>
            <w:hyperlink w:history="true" r:id="R38d23383347c458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the </w:t>
            </w:r>
            <w:r>
              <w:rPr>
                <w:rStyle w:val="row-content"/>
              </w:rPr>
              <w:t xml:space="preserve">K10 Screening Scale for Psychological Distress</w:t>
            </w:r>
            <w:r>
              <w:rPr>
                <w:rStyle w:val="row-content"/>
              </w:rPr>
              <w:t xml:space="preserve"> (last 4 weeks) (K10+) data element cluster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K10+ are not required for </w:t>
            </w:r>
            <w:hyperlink w:tooltip="Episodes of community mental health care that are 14 days or less between first and last service contact date." w:history="true" r:id="R6ea81d9ea06643ca">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f54e7600f9134fee">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rPr>
                <w:rStyle w:val="row-content"/>
              </w:rPr>
              <w:t xml:space="preserve">The rating period for the K10+ is the "previous 4 weeks".</w:t>
            </w:r>
          </w:p>
          <w:p>
            <w:r>
              <w:br/>
            </w:r>
            <w:r>
              <w:br/>
            </w:r>
            <w:hyperlink w:history="true" r:id="R3921f75bbe294bde">
              <w:r>
                <w:rPr>
                  <w:rStyle w:val="Hyperlink"/>
                </w:rPr>
                <w:t xml:space="preserve">National Outcomes and Casemix Collection NBEDS 2024-25</w:t>
              </w:r>
            </w:hyperlink>
          </w:p>
          <w:p>
            <w:pPr>
              <w:pStyle w:val="registration-status"/>
              <w:spacing w:before="0" w:after="0"/>
            </w:pPr>
            <w:hyperlink w:history="true" r:id="R2722b47c82974e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the </w:t>
            </w:r>
            <w:r>
              <w:rPr>
                <w:rStyle w:val="row-content"/>
              </w:rPr>
              <w:t xml:space="preserve">K10 Screening Scale for Psychological Distress</w:t>
            </w:r>
            <w:r>
              <w:rPr>
                <w:rStyle w:val="row-content"/>
              </w:rPr>
              <w:t xml:space="preserve"> (last 4 weeks) (K10+) data element cluster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K10+ are not required for </w:t>
            </w:r>
            <w:hyperlink w:tooltip="Episodes of community mental health care that are 14 days or less between first and last service contact date." w:history="true" r:id="R467a50732a1d458e">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e81262dab7c8446b">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rPr>
                <w:rStyle w:val="row-content"/>
              </w:rPr>
              <w:t xml:space="preserve">The rating period for the K10+ is the "previous 4 weeks".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fc9f07695094d31">
                    <w:r>
                      <w:rPr>
                        <w:rStyle w:val="Hyperlink"/>
                      </w:rPr>
                      <w:t xml:space="preserve">Person—self-assessed mental health status, K10 score code N</w:t>
                    </w:r>
                  </w:hyperlink>
                </w:p>
                <w:p>
                  <w:r>
                    <w:rPr>
                      <w:b/>
                      <w:i/>
                      <w:color w:val="333333"/>
                    </w:rPr>
                    <w:t xml:space="preserve">DSS specific information:</w:t>
                  </w:r>
                </w:p>
                <w:p>
                  <w:r>
                    <w:t xml:space="preserve">This data element collects data on a person's non-specific psycho-social distress based on ten questions about the level of nervousness, agitation, psychological fatigue, and depression in the relevant rating period.</w:t>
                  </w:r>
                </w:p>
                <w:p>
                  <w:r>
                    <w:t xml:space="preserve">This data element represents questions 1-10 in the K10+ and should be used 10 times - once each per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3960aedbf24bac">
                    <w:r>
                      <w:rPr>
                        <w:rStyle w:val="Hyperlink"/>
                      </w:rPr>
                      <w:t xml:space="preserve">Person—period of time unable to function, total days NN</w:t>
                    </w:r>
                  </w:hyperlink>
                </w:p>
                <w:p>
                  <w:r>
                    <w:rPr>
                      <w:b/>
                      <w:i/>
                      <w:color w:val="333333"/>
                    </w:rPr>
                    <w:t xml:space="preserve">Conditional obligation:</w:t>
                  </w:r>
                </w:p>
                <w:p>
                  <w:r>
                    <w:t xml:space="preserve">Conditional on there being no CODE 1, “none of the time” responses to </w:t>
                  </w:r>
                  <w:hyperlink w:history="true" r:id="R6d0aba0e3f5e4ae9">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totally unable to function specifically because of their feelings.</w:t>
                  </w:r>
                </w:p>
                <w:p>
                  <w:r>
                    <w:t xml:space="preserve">This data element represents question 11 in the K10+ survey and asks:</w:t>
                  </w:r>
                </w:p>
                <w:p>
                  <w:r>
                    <w:t xml:space="preserve">11. In the past four weeks, how many days were you totally unable to work, study or manage your day-to-day activities because of these feelings?</w:t>
                  </w:r>
                </w:p>
                <w:p>
                  <w:r>
                    <w:t xml:space="preserve">Permitted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88a6680334407c">
                    <w:r>
                      <w:rPr>
                        <w:rStyle w:val="Hyperlink"/>
                      </w:rPr>
                      <w:t xml:space="preserve">Person—period partially unable to function, total days NN</w:t>
                    </w:r>
                  </w:hyperlink>
                </w:p>
                <w:p>
                  <w:r>
                    <w:rPr>
                      <w:b/>
                      <w:i/>
                      <w:color w:val="333333"/>
                    </w:rPr>
                    <w:t xml:space="preserve">Conditional obligation:</w:t>
                  </w:r>
                </w:p>
                <w:p>
                  <w:r>
                    <w:t xml:space="preserve">Conditional on there being no CODE 1, “none of the time” responses to </w:t>
                  </w:r>
                  <w:hyperlink w:history="true" r:id="R26bd4cb2deb14ecf">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partially unable to function specifically because of their feelings.</w:t>
                  </w:r>
                </w:p>
                <w:p>
                  <w:r>
                    <w:t xml:space="preserve">This data element represents question 12 of the K10+ survey and asks:</w:t>
                  </w:r>
                </w:p>
                <w:p>
                  <w:r>
                    <w:t xml:space="preserve">12. [Aside from those days], in the past 4 weeks, how many days were you able to work or study or manage your day-to-day activities, but had to cut down on what you did because of these feelings?</w:t>
                  </w:r>
                </w:p>
                <w:p>
                  <w:r>
                    <w:t xml:space="preserve">Permissible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949c12a7914767">
                    <w:r>
                      <w:rPr>
                        <w:rStyle w:val="Hyperlink"/>
                      </w:rPr>
                      <w:t xml:space="preserve">Person—number of visits to doctor or health professional, total NN</w:t>
                    </w:r>
                  </w:hyperlink>
                </w:p>
                <w:p>
                  <w:r>
                    <w:rPr>
                      <w:b/>
                      <w:i/>
                      <w:color w:val="333333"/>
                    </w:rPr>
                    <w:t xml:space="preserve">Conditional obligation:</w:t>
                  </w:r>
                </w:p>
                <w:p>
                  <w:r>
                    <w:t xml:space="preserve">Conditional on there being no CODE 1, “none of the time” responses to </w:t>
                  </w:r>
                  <w:hyperlink w:history="true" r:id="R175286dafbbf4f9c">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a count of the total number of visits a person has made to a doctor or health professional regarding their feelings in the last 4 weeks.</w:t>
                  </w:r>
                </w:p>
                <w:p>
                  <w:r>
                    <w:t xml:space="preserve">This data element represents question 13 of the K10+ survey and asks:</w:t>
                  </w:r>
                </w:p>
                <w:p>
                  <w:r>
                    <w:t xml:space="preserve">13. In the past 4 weeks, how many times have you seen a doctor or any other health professional about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b1a6c9ecc75496c">
                    <w:r>
                      <w:rPr>
                        <w:rStyle w:val="Hyperlink"/>
                      </w:rPr>
                      <w:t xml:space="preserve">Person—effect of physical health problems on feelings rating, symptom frequency scale code N</w:t>
                    </w:r>
                  </w:hyperlink>
                </w:p>
                <w:p>
                  <w:r>
                    <w:rPr>
                      <w:b/>
                      <w:i/>
                      <w:color w:val="333333"/>
                    </w:rPr>
                    <w:t xml:space="preserve">Conditional obligation:</w:t>
                  </w:r>
                </w:p>
                <w:p>
                  <w:r>
                    <w:t xml:space="preserve">Conditional on there being no CODE 1, “none of the time” responses to </w:t>
                  </w:r>
                  <w:hyperlink w:history="true" r:id="R6efa35c3d3f54995">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how often a person's physical health problems were the primary contributor to their feelings.</w:t>
                  </w:r>
                </w:p>
                <w:p>
                  <w:r>
                    <w:t xml:space="preserve">This data element represents question 14 on the K10+ survey and asks:</w:t>
                  </w:r>
                </w:p>
                <w:p>
                  <w:r>
                    <w:t xml:space="preserve">14. In the past 4 weeks, how often have physical health problems been the main cause of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e47307cb35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939e43cdf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47307cb354196" /><Relationship Type="http://schemas.openxmlformats.org/officeDocument/2006/relationships/header" Target="/word/header1.xml" Id="Re40f05b7b74a438e" /><Relationship Type="http://schemas.openxmlformats.org/officeDocument/2006/relationships/settings" Target="/word/settings.xml" Id="R7a130f64578e4e6c" /><Relationship Type="http://schemas.openxmlformats.org/officeDocument/2006/relationships/styles" Target="/word/styles.xml" Id="R465b1c88324d491c" /><Relationship Type="http://schemas.openxmlformats.org/officeDocument/2006/relationships/hyperlink" Target="https://meteor.aihw.gov.au/RegistrationAuthority/12" TargetMode="External" Id="Rc25bc0eabbc24f8d" /><Relationship Type="http://schemas.openxmlformats.org/officeDocument/2006/relationships/hyperlink" Target="https://meteor.aihw.gov.au/content/743587" TargetMode="External" Id="Rf1361b1c7b774d1a" /><Relationship Type="http://schemas.openxmlformats.org/officeDocument/2006/relationships/hyperlink" Target="https://meteor.aihw.gov.au/RegistrationAuthority/12" TargetMode="External" Id="Rcf8ffad9a5054d61" /><Relationship Type="http://schemas.openxmlformats.org/officeDocument/2006/relationships/hyperlink" Target="https://meteor.aihw.gov.au/content/761561" TargetMode="External" Id="R8c1eebab47a34482" /><Relationship Type="http://schemas.openxmlformats.org/officeDocument/2006/relationships/hyperlink" Target="https://meteor.aihw.gov.au/RegistrationAuthority/12" TargetMode="External" Id="Rb71ceeff20ed42bb" /><Relationship Type="http://schemas.openxmlformats.org/officeDocument/2006/relationships/hyperlink" Target="https://meteor.aihw.gov.au/content/757052" TargetMode="External" Id="R10b99649e4fb4143" /><Relationship Type="http://schemas.openxmlformats.org/officeDocument/2006/relationships/hyperlink" Target="https://meteor.aihw.gov.au/RegistrationAuthority/12" TargetMode="External" Id="R38d23383347c4586" /><Relationship Type="http://schemas.openxmlformats.org/officeDocument/2006/relationships/hyperlink" Target="https://meteor.aihw.gov.au/content/605545" TargetMode="External" Id="R6ea81d9ea06643ca" /><Relationship Type="http://schemas.openxmlformats.org/officeDocument/2006/relationships/hyperlink" Target="https://docs.validator.com.au/nocc/02.10/" TargetMode="External" Id="Rf54e7600f9134fee" /><Relationship Type="http://schemas.openxmlformats.org/officeDocument/2006/relationships/hyperlink" Target="https://meteor.aihw.gov.au/content/775852" TargetMode="External" Id="R3921f75bbe294bde" /><Relationship Type="http://schemas.openxmlformats.org/officeDocument/2006/relationships/hyperlink" Target="https://meteor.aihw.gov.au/RegistrationAuthority/12" TargetMode="External" Id="R2722b47c82974e76" /><Relationship Type="http://schemas.openxmlformats.org/officeDocument/2006/relationships/hyperlink" Target="https://meteor.aihw.gov.au/content/605545" TargetMode="External" Id="R467a50732a1d458e" /><Relationship Type="http://schemas.openxmlformats.org/officeDocument/2006/relationships/hyperlink" Target="https://docs.validator.com.au/nocc/02.10/" TargetMode="External" Id="Re81262dab7c8446b" /><Relationship Type="http://schemas.openxmlformats.org/officeDocument/2006/relationships/hyperlink" Target="https://meteor.aihw.gov.au/content/747085" TargetMode="External" Id="R0fc9f07695094d31" /><Relationship Type="http://schemas.openxmlformats.org/officeDocument/2006/relationships/hyperlink" Target="https://meteor.aihw.gov.au/content/734528" TargetMode="External" Id="R973960aedbf24bac" /><Relationship Type="http://schemas.openxmlformats.org/officeDocument/2006/relationships/hyperlink" Target="https://meteor.aihw.gov.au/content/747085" TargetMode="External" Id="R6d0aba0e3f5e4ae9" /><Relationship Type="http://schemas.openxmlformats.org/officeDocument/2006/relationships/hyperlink" Target="https://meteor.aihw.gov.au/content/734536" TargetMode="External" Id="Rb188a6680334407c" /><Relationship Type="http://schemas.openxmlformats.org/officeDocument/2006/relationships/hyperlink" Target="https://meteor.aihw.gov.au/content/747085" TargetMode="External" Id="R26bd4cb2deb14ecf" /><Relationship Type="http://schemas.openxmlformats.org/officeDocument/2006/relationships/hyperlink" Target="https://meteor.aihw.gov.au/content/734543" TargetMode="External" Id="R99949c12a7914767" /><Relationship Type="http://schemas.openxmlformats.org/officeDocument/2006/relationships/hyperlink" Target="https://meteor.aihw.gov.au/content/747085" TargetMode="External" Id="R175286dafbbf4f9c" /><Relationship Type="http://schemas.openxmlformats.org/officeDocument/2006/relationships/hyperlink" Target="https://meteor.aihw.gov.au/content/734549" TargetMode="External" Id="R6b1a6c9ecc75496c" /><Relationship Type="http://schemas.openxmlformats.org/officeDocument/2006/relationships/hyperlink" Target="https://meteor.aihw.gov.au/content/747085" TargetMode="External" Id="R6efa35c3d3f54995" /></Relationships>
</file>

<file path=word/_rels/header1.xml.rels>&#65279;<?xml version="1.0" encoding="utf-8"?><Relationships xmlns="http://schemas.openxmlformats.org/package/2006/relationships"><Relationship Type="http://schemas.openxmlformats.org/officeDocument/2006/relationships/image" Target="/media/image.png" Id="Re46939e43cdf4e83" /></Relationships>
</file>