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7dcba420b4226" /></Relationships>
</file>

<file path=word/document.xml><?xml version="1.0" encoding="utf-8"?>
<w:document xmlns:r="http://schemas.openxmlformats.org/officeDocument/2006/relationships" xmlns:w="http://schemas.openxmlformats.org/wordprocessingml/2006/main">
  <w:body>
    <w:p>
      <w:pPr>
        <w:pStyle w:val="Title"/>
      </w:pPr>
      <w:r>
        <w:t>Person—dementia risk factors,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risk factors,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Dementia risk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2960edac8a4dd3">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factors for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8b78cd67eb164266">
              <w:r>
                <w:rPr>
                  <w:rStyle w:val="Hyperlink"/>
                  <w:b/>
                </w:rPr>
                <w:t xml:space="preserve">dementia</w:t>
              </w:r>
            </w:hyperlink>
            <w:r>
              <w:rPr>
                <w:rStyle w:val="row-content-rich-text"/>
              </w:rPr>
              <w:t xml:space="preserve"> in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9781a773394c9b">
              <w:r>
                <w:rPr>
                  <w:rStyle w:val="Hyperlink"/>
                </w:rPr>
                <w:t xml:space="preserve">Person—dementia risk factors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7a413397304072">
              <w:r>
                <w:rPr>
                  <w:rStyle w:val="Hyperlink"/>
                </w:rPr>
                <w:t xml:space="preserve">Risk factors of dementia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Hearing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Vision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Physical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Low education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Head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Genetic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Intellectual disability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Mild cognitive impairment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risk factor of dementia identified by an appropriate clinician.</w:t>
            </w:r>
          </w:p>
          <w:p>
            <w:pPr>
              <w:spacing w:after="160"/>
            </w:pPr>
            <w:r>
              <w:rPr>
                <w:rStyle w:val="row-content-rich-text"/>
              </w:rPr>
              <w:t xml:space="preserve"> </w:t>
            </w:r>
          </w:p>
          <w:p>
            <w:pPr>
              <w:spacing w:after="160"/>
            </w:pPr>
            <w:r>
              <w:rPr>
                <w:rStyle w:val="row-content-rich-text"/>
              </w:rPr>
              <w:t xml:space="preserve">CODE 01     Alcohol use</w:t>
            </w:r>
          </w:p>
          <w:p>
            <w:pPr>
              <w:spacing w:after="160"/>
            </w:pPr>
            <w:r>
              <w:rPr>
                <w:rStyle w:val="row-content-rich-text"/>
              </w:rPr>
              <w:t xml:space="preserve">Record if the person exceeded the guidelines for alcohol intake for their age in the past 7 days (based on the </w:t>
            </w:r>
            <w:r>
              <w:rPr>
                <w:rStyle w:val="row-content-rich-text"/>
                <w:i/>
              </w:rPr>
              <w:t xml:space="preserve">Australian guidelines to reduce health risks from drinking alcohol</w:t>
            </w:r>
            <w:r>
              <w:rPr>
                <w:rStyle w:val="row-content-rich-text"/>
              </w:rPr>
              <w:t xml:space="preserve"> (NHMRC 2020)).</w:t>
            </w:r>
          </w:p>
          <w:p>
            <w:pPr>
              <w:spacing w:after="160"/>
            </w:pPr>
            <w:r>
              <w:rPr>
                <w:rStyle w:val="row-content-rich-text"/>
              </w:rPr>
              <w:t xml:space="preserve"> </w:t>
            </w:r>
          </w:p>
          <w:p>
            <w:pPr>
              <w:spacing w:after="160"/>
            </w:pPr>
            <w:r>
              <w:rPr>
                <w:rStyle w:val="row-content-rich-text"/>
              </w:rPr>
              <w:t xml:space="preserve">CODE 02     Smoking</w:t>
            </w:r>
          </w:p>
          <w:p>
            <w:pPr>
              <w:spacing w:after="160"/>
            </w:pPr>
            <w:r>
              <w:rPr>
                <w:rStyle w:val="row-content-rich-text"/>
              </w:rPr>
              <w:t xml:space="preserve">Record if the person has ever smoked. Includes tobacco and e-cigarettes.</w:t>
            </w:r>
          </w:p>
          <w:p>
            <w:pPr>
              <w:spacing w:after="160"/>
            </w:pPr>
            <w:r>
              <w:rPr>
                <w:rStyle w:val="row-content-rich-text"/>
              </w:rPr>
              <w:t xml:space="preserve"> </w:t>
            </w:r>
          </w:p>
          <w:p>
            <w:pPr>
              <w:spacing w:after="160"/>
            </w:pPr>
            <w:r>
              <w:rPr>
                <w:rStyle w:val="row-content-rich-text"/>
              </w:rPr>
              <w:t xml:space="preserve">CODE 03     Obesity</w:t>
            </w:r>
          </w:p>
          <w:p>
            <w:pPr>
              <w:spacing w:after="160"/>
            </w:pPr>
            <w:r>
              <w:rPr>
                <w:rStyle w:val="row-content-rich-text"/>
              </w:rPr>
              <w:t xml:space="preserve">Record if the person has a Body Mass Index (BMI) ≥ 30.</w:t>
            </w:r>
          </w:p>
          <w:p>
            <w:pPr>
              <w:spacing w:after="160"/>
            </w:pPr>
            <w:r>
              <w:rPr>
                <w:rStyle w:val="row-content-rich-text"/>
              </w:rPr>
              <w:t xml:space="preserve"> </w:t>
            </w:r>
          </w:p>
          <w:p>
            <w:pPr>
              <w:spacing w:after="160"/>
            </w:pPr>
            <w:r>
              <w:rPr>
                <w:rStyle w:val="row-content-rich-text"/>
              </w:rPr>
              <w:t xml:space="preserve">CODE 04     Hypertension</w:t>
            </w:r>
          </w:p>
          <w:p>
            <w:pPr>
              <w:spacing w:after="160"/>
            </w:pPr>
            <w:r>
              <w:rPr>
                <w:rStyle w:val="row-content-rich-text"/>
              </w:rPr>
              <w:t xml:space="preserve">Record if the person has a history of hypertension.</w:t>
            </w:r>
          </w:p>
          <w:p>
            <w:pPr>
              <w:spacing w:after="160"/>
            </w:pPr>
            <w:r>
              <w:rPr>
                <w:rStyle w:val="row-content-rich-text"/>
              </w:rPr>
              <w:t xml:space="preserve"> </w:t>
            </w:r>
          </w:p>
          <w:p>
            <w:pPr>
              <w:spacing w:after="160"/>
            </w:pPr>
            <w:r>
              <w:rPr>
                <w:rStyle w:val="row-content-rich-text"/>
              </w:rPr>
              <w:t xml:space="preserve">CODE 05     Hearing loss</w:t>
            </w:r>
          </w:p>
          <w:p>
            <w:pPr>
              <w:spacing w:after="160"/>
            </w:pPr>
            <w:r>
              <w:rPr>
                <w:rStyle w:val="row-content-rich-text"/>
              </w:rPr>
              <w:t xml:space="preserve">Record if the person has hearing loss. Includes any hearing threshold response (using audiometry) outside the normal range, at any sound stimuli, in either ear.</w:t>
            </w:r>
          </w:p>
          <w:p>
            <w:pPr>
              <w:spacing w:after="160"/>
            </w:pPr>
            <w:r>
              <w:rPr>
                <w:rStyle w:val="row-content-rich-text"/>
              </w:rPr>
              <w:t xml:space="preserve"> </w:t>
            </w:r>
          </w:p>
          <w:p>
            <w:pPr>
              <w:spacing w:after="160"/>
            </w:pPr>
            <w:r>
              <w:rPr>
                <w:rStyle w:val="row-content-rich-text"/>
              </w:rPr>
              <w:t xml:space="preserve">CODE 06     Vision loss</w:t>
            </w:r>
          </w:p>
          <w:p>
            <w:pPr>
              <w:spacing w:after="160"/>
            </w:pPr>
            <w:r>
              <w:rPr>
                <w:rStyle w:val="row-content-rich-text"/>
              </w:rPr>
              <w:t xml:space="preserve">Record if the person has full or partial vision loss caused by cataracts, macular degeneration, diabetic retinopathy or other conditions. Exclude vision impairment that has been corrected with glasses or contact lenses.</w:t>
            </w:r>
          </w:p>
          <w:p>
            <w:pPr>
              <w:spacing w:after="160"/>
            </w:pPr>
            <w:r>
              <w:rPr>
                <w:rStyle w:val="row-content-rich-text"/>
              </w:rPr>
              <w:t xml:space="preserve"> </w:t>
            </w:r>
          </w:p>
          <w:p>
            <w:pPr>
              <w:spacing w:after="160"/>
            </w:pPr>
            <w:r>
              <w:rPr>
                <w:rStyle w:val="row-content-rich-text"/>
              </w:rPr>
              <w:t xml:space="preserve">CODE 07     Physical inactivity</w:t>
            </w:r>
          </w:p>
          <w:p>
            <w:pPr>
              <w:spacing w:after="160"/>
            </w:pPr>
            <w:r>
              <w:rPr>
                <w:rStyle w:val="row-content-rich-text"/>
              </w:rPr>
              <w:t xml:space="preserve">Record if the person did not meet the physical activity guidelines for their age in the past 7 days (based on the </w:t>
            </w:r>
            <w:r>
              <w:rPr>
                <w:rStyle w:val="row-content-rich-text"/>
                <w:i/>
              </w:rPr>
              <w:t xml:space="preserve">Physical activity and exercise guidelines for all Australians</w:t>
            </w:r>
            <w:r>
              <w:rPr>
                <w:rStyle w:val="row-content-rich-text"/>
              </w:rPr>
              <w:t xml:space="preserve"> (Department of Health and Aged Care 2021)).</w:t>
            </w:r>
          </w:p>
          <w:p>
            <w:pPr>
              <w:spacing w:after="160"/>
            </w:pPr>
            <w:r>
              <w:rPr>
                <w:rStyle w:val="row-content-rich-text"/>
              </w:rPr>
              <w:t xml:space="preserve"> </w:t>
            </w:r>
          </w:p>
          <w:p>
            <w:pPr>
              <w:spacing w:after="160"/>
            </w:pPr>
            <w:r>
              <w:rPr>
                <w:rStyle w:val="row-content-rich-text"/>
              </w:rPr>
              <w:t xml:space="preserve">CODE 08     Low education attainment</w:t>
            </w:r>
          </w:p>
          <w:p>
            <w:pPr>
              <w:spacing w:after="160"/>
            </w:pPr>
            <w:r>
              <w:rPr>
                <w:rStyle w:val="row-content-rich-text"/>
              </w:rPr>
              <w:t xml:space="preserve">Record if the person did not complete secondary education.</w:t>
            </w:r>
          </w:p>
          <w:p>
            <w:pPr>
              <w:spacing w:after="160"/>
            </w:pPr>
            <w:r>
              <w:rPr>
                <w:rStyle w:val="row-content-rich-text"/>
              </w:rPr>
              <w:t xml:space="preserve"> </w:t>
            </w:r>
          </w:p>
          <w:p>
            <w:pPr>
              <w:spacing w:after="160"/>
            </w:pPr>
            <w:r>
              <w:rPr>
                <w:rStyle w:val="row-content-rich-text"/>
              </w:rPr>
              <w:t xml:space="preserve">CODE 09     Traumatic brain injury</w:t>
            </w:r>
          </w:p>
          <w:p>
            <w:pPr>
              <w:spacing w:after="160"/>
            </w:pPr>
            <w:r>
              <w:rPr>
                <w:rStyle w:val="row-content-rich-text"/>
              </w:rPr>
              <w:t xml:space="preserve">Record if the person has ever had a traumatic brain injury (injury to the brain caused by an external force). Includes concussion.</w:t>
            </w:r>
          </w:p>
          <w:p>
            <w:pPr>
              <w:spacing w:after="160"/>
            </w:pPr>
            <w:r>
              <w:rPr>
                <w:rStyle w:val="row-content-rich-text"/>
              </w:rPr>
              <w:t xml:space="preserve"> </w:t>
            </w:r>
          </w:p>
          <w:p>
            <w:pPr>
              <w:spacing w:after="160"/>
            </w:pPr>
            <w:r>
              <w:rPr>
                <w:rStyle w:val="row-content-rich-text"/>
              </w:rPr>
              <w:t xml:space="preserve">CODE 10     Genetic</w:t>
            </w:r>
          </w:p>
          <w:p>
            <w:pPr>
              <w:spacing w:after="160"/>
            </w:pPr>
            <w:r>
              <w:rPr>
                <w:rStyle w:val="row-content-rich-text"/>
              </w:rPr>
              <w:t xml:space="preserve">Record if the person has a biological family history of dementia.</w:t>
            </w:r>
          </w:p>
          <w:p>
            <w:pPr>
              <w:spacing w:after="160"/>
            </w:pPr>
            <w:r>
              <w:rPr>
                <w:rStyle w:val="row-content-rich-text"/>
              </w:rPr>
              <w:t xml:space="preserve"> </w:t>
            </w:r>
          </w:p>
          <w:p>
            <w:pPr>
              <w:spacing w:after="160"/>
            </w:pPr>
            <w:r>
              <w:rPr>
                <w:rStyle w:val="row-content-rich-text"/>
              </w:rPr>
              <w:t xml:space="preserve">CODE 11     Mental illness</w:t>
            </w:r>
          </w:p>
          <w:p>
            <w:pPr>
              <w:spacing w:after="160"/>
            </w:pPr>
            <w:r>
              <w:rPr>
                <w:rStyle w:val="row-content-rich-text"/>
              </w:rPr>
              <w:t xml:space="preserve">Record if the person has a history of a mental health disorder (also referred to as mental illness). Includes depression, anxiety, substance use disorders, personality disorders, psychoses and other cognitive, emotional and behavioural disorders that interfere with the lives and productivity of people.</w:t>
            </w:r>
          </w:p>
          <w:p>
            <w:pPr>
              <w:spacing w:after="160"/>
            </w:pPr>
            <w:r>
              <w:rPr>
                <w:rStyle w:val="row-content-rich-text"/>
              </w:rPr>
              <w:t xml:space="preserve"> </w:t>
            </w:r>
          </w:p>
          <w:p>
            <w:pPr>
              <w:spacing w:after="160"/>
            </w:pPr>
            <w:r>
              <w:rPr>
                <w:rStyle w:val="row-content-rich-text"/>
              </w:rPr>
              <w:t xml:space="preserve">CODE 12     Intellectual disability</w:t>
            </w:r>
          </w:p>
          <w:p>
            <w:pPr>
              <w:spacing w:after="160"/>
            </w:pPr>
            <w:r>
              <w:rPr>
                <w:rStyle w:val="row-content-rich-text"/>
              </w:rPr>
              <w:t xml:space="preserve">Record if the person has a diagnosed intellectual disability.</w:t>
            </w:r>
          </w:p>
          <w:p>
            <w:pPr>
              <w:spacing w:after="160"/>
            </w:pPr>
            <w:r>
              <w:rPr>
                <w:rStyle w:val="row-content-rich-text"/>
              </w:rPr>
              <w:t xml:space="preserve"> </w:t>
            </w:r>
          </w:p>
          <w:p>
            <w:pPr>
              <w:spacing w:after="160"/>
            </w:pPr>
            <w:r>
              <w:rPr>
                <w:rStyle w:val="row-content-rich-text"/>
              </w:rPr>
              <w:t xml:space="preserve">CODE 13     Mild cognitive impairment</w:t>
            </w:r>
          </w:p>
          <w:p>
            <w:pPr>
              <w:spacing w:after="160"/>
            </w:pPr>
            <w:r>
              <w:rPr>
                <w:rStyle w:val="row-content-rich-text"/>
              </w:rPr>
              <w:t xml:space="preserve">Record if the person has ever been diagnosed with a mild cognitive impairment.</w:t>
            </w:r>
          </w:p>
          <w:p>
            <w:pPr>
              <w:spacing w:after="160"/>
            </w:pPr>
            <w:r>
              <w:rPr>
                <w:rStyle w:val="row-content-rich-text"/>
              </w:rPr>
              <w:t xml:space="preserve"> </w:t>
            </w:r>
          </w:p>
          <w:p>
            <w:pPr>
              <w:spacing w:after="160"/>
            </w:pPr>
            <w:r>
              <w:rPr>
                <w:rStyle w:val="row-content-rich-text"/>
              </w:rPr>
              <w:t xml:space="preserve">CODE 14     Diabetes</w:t>
            </w:r>
          </w:p>
          <w:p>
            <w:pPr/>
            <w:r>
              <w:rPr>
                <w:rStyle w:val="row-content-rich-text"/>
              </w:rPr>
              <w:t xml:space="preserve">Record if the person has ever been told by a doctor or nurse that they have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(2020). </w:t>
            </w:r>
            <w:r>
              <w:rPr>
                <w:rStyle w:val="row-content-rich-text"/>
                <w:i/>
              </w:rPr>
              <w:t xml:space="preserve">Australian guidelines to reduce health risks from drinking alcohol</w:t>
            </w:r>
            <w:r>
              <w:rPr>
                <w:rStyle w:val="row-content-rich-text"/>
              </w:rPr>
              <w:t xml:space="preserve">. Commonwealth of Australia, Canberra. https://www.nhmrc.gov.au/about-us/publications/australian-guidelines-reduce-health-risks-drinking-alcohol</w:t>
            </w:r>
          </w:p>
          <w:p>
            <w:pPr/>
            <w:r>
              <w:rPr>
                <w:rStyle w:val="row-content-rich-text"/>
              </w:rPr>
              <w:t xml:space="preserve">Department of Health and Aged Care (2021), </w:t>
            </w:r>
            <w:r>
              <w:rPr>
                <w:rStyle w:val="row-content-rich-text"/>
                <w:i/>
              </w:rPr>
              <w:t xml:space="preserve">Physical activity and exercise guidelines for all Australians</w:t>
            </w:r>
            <w:r>
              <w:rPr>
                <w:rStyle w:val="row-content-rich-text"/>
              </w:rPr>
              <w:t xml:space="preserve">, Commonwealth of Australia, Canberra. https://www.health.gov.au/health-topics/physical-activity-and-exercise/physical-activity-and-exercise-guidelines-for-all-australians.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Livingston G, Huntley J, Sommerlad A, Ames D, Ballard C, Banerjee S, et al. 2020. Dementia prevention, intervention, and care: 2020 report of the Lancet Commission. Lancet. 8;396(10248):413-446. doi: </w:t>
            </w:r>
            <w:hyperlink w:history="true" r:id="Rcb1e056b49784dc7">
              <w:r>
                <w:rPr>
                  <w:rStyle w:val="Hyperlink"/>
                </w:rPr>
                <w:t xml:space="preserve">10.1016/S0140-6736(20)30367-6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33311cb40d4c97">
              <w:r>
                <w:rPr>
                  <w:rStyle w:val="Hyperlink"/>
                </w:rPr>
                <w:t xml:space="preserve">Dementia NBPDS</w:t>
              </w:r>
            </w:hyperlink>
          </w:p>
          <w:p>
            <w:pPr>
              <w:spacing w:before="0" w:after="0"/>
            </w:pPr>
            <w:r>
              <w:rPr>
                <w:rStyle w:val="row-content"/>
                <w:color w:val="244061"/>
              </w:rPr>
              <w:t xml:space="preserve">       </w:t>
            </w:r>
            <w:hyperlink w:history="true" r:id="Rbc1934d297054e61">
              <w:r>
                <w:rPr>
                  <w:rStyle w:val="Hyperlink"/>
                  <w:color w:val="244061"/>
                </w:rPr>
                <w:t xml:space="preserve">Health</w:t>
              </w:r>
            </w:hyperlink>
            <w:r>
              <w:rPr>
                <w:rStyle w:val="row-content"/>
                <w:color w:val="244061"/>
              </w:rPr>
              <w:t xml:space="preserve">, Standard 05/10/2022</w:t>
            </w:r>
          </w:p>
          <w:p>
            <w:r>
              <w:rPr>
                <w:rStyle w:val="row-content"/>
                <w:b/>
                <w:i/>
              </w:rPr>
              <w:t xml:space="preserve">DSS specific information: </w:t>
            </w:r>
          </w:p>
          <w:p>
            <w:r>
              <w:rPr>
                <w:rStyle w:val="row-content"/>
              </w:rPr>
              <w:t xml:space="preserve">Risk factors present or recorded at diagnosis of dementia should be recorded. </w:t>
            </w:r>
          </w:p>
          <w:p>
            <w:r>
              <w:br/>
            </w:r>
            <w:r>
              <w:br/>
            </w:r>
          </w:p>
        </w:tc>
      </w:tr>
    </w:tbl>
    <w:p/>
    <w:tbl>
      <w:tblPr>
        <w:tblStyle w:val="TableGrid"/>
        <w:tblW w:w="0" w:type="auto"/>
      </w:tblPr>
    </w:tbl>
    <w:p>
      <w:r>
        <w:br/>
      </w:r>
    </w:p>
    <w:sectPr>
      <w:footerReference xmlns:r="http://schemas.openxmlformats.org/officeDocument/2006/relationships" w:type="default" r:id="R7ab37e2e8dc143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aeeb79196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37e2e8dc14387" /><Relationship Type="http://schemas.openxmlformats.org/officeDocument/2006/relationships/header" Target="/word/header1.xml" Id="R15eab83d56bc45c7" /><Relationship Type="http://schemas.openxmlformats.org/officeDocument/2006/relationships/settings" Target="/word/settings.xml" Id="R8c383f83d5314589" /><Relationship Type="http://schemas.openxmlformats.org/officeDocument/2006/relationships/styles" Target="/word/styles.xml" Id="R0b03b7fce9424e28" /><Relationship Type="http://schemas.openxmlformats.org/officeDocument/2006/relationships/hyperlink" Target="https://meteor.aihw.gov.au/RegistrationAuthority/12" TargetMode="External" Id="Rb32960edac8a4dd3" /><Relationship Type="http://schemas.openxmlformats.org/officeDocument/2006/relationships/hyperlink" Target="https://meteor.aihw.gov.au/content/737874" TargetMode="External" Id="R8b78cd67eb164266" /><Relationship Type="http://schemas.openxmlformats.org/officeDocument/2006/relationships/hyperlink" Target="https://meteor.aihw.gov.au/content/738018" TargetMode="External" Id="R9c9781a773394c9b" /><Relationship Type="http://schemas.openxmlformats.org/officeDocument/2006/relationships/hyperlink" Target="https://meteor.aihw.gov.au/content/738021" TargetMode="External" Id="R9a7a413397304072" /><Relationship Type="http://schemas.openxmlformats.org/officeDocument/2006/relationships/hyperlink" Target="https://doi.org/10.1016/s0140-6736(20)30367-6" TargetMode="External" Id="Rcb1e056b49784dc7" /><Relationship Type="http://schemas.openxmlformats.org/officeDocument/2006/relationships/hyperlink" Target="https://meteor.aihw.gov.au/content/737872" TargetMode="External" Id="R9d33311cb40d4c97" /><Relationship Type="http://schemas.openxmlformats.org/officeDocument/2006/relationships/hyperlink" Target="https://meteor.aihw.gov.au/RegistrationAuthority/12" TargetMode="External" Id="Rbc1934d297054e61" /></Relationships>
</file>

<file path=word/_rels/header1.xml.rels>&#65279;<?xml version="1.0" encoding="utf-8"?><Relationships xmlns="http://schemas.openxmlformats.org/package/2006/relationships"><Relationship Type="http://schemas.openxmlformats.org/officeDocument/2006/relationships/image" Target="/media/image.png" Id="R1eaaeeb791964549" /></Relationships>
</file>