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eb369256624649"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specific primary health care national Key Performance Indicators (nKPI) data collection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specific primary health care national Key Performance Indicators (nKPI)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specific primary health care national Key Performance Indicators (ATSISPHC nKPI) data collection supports the collection of aggregate information from First Nations specific primary health care organisations.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organisation funded by the Australian Government Department of Health and Aged Care that is required to provide data to the nKPIs should record service provision in clinical information management systems that allow the electronic transmission of data for the Aboriginal and Torres Strait Islander specific primary health care national Key Performance Indicators (nKPI) NBEDS (ATSISPHC nKPI NBEDS), to be used in the calculation of the indicators. Exceptions may be made for services that do not have compatible clinical information management systems to manually upload data.</w:t>
            </w:r>
          </w:p>
          <w:p>
            <w:pPr>
              <w:spacing w:after="160"/>
            </w:pPr>
            <w:r>
              <w:rPr>
                <w:rStyle w:val="row-content-rich-text"/>
              </w:rPr>
              <w:t xml:space="preserve">Reporting organisations submit nKPI data twice a year, with census dates of 30 June and 31 December.</w:t>
            </w:r>
          </w:p>
          <w:p>
            <w:pPr/>
            <w:r>
              <w:rPr>
                <w:rStyle w:val="row-content-rich-text"/>
              </w:rPr>
              <w:t xml:space="preserve">Submission is done through the Health Data Portal.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6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From June 2023 'First Nations' became the preferred terminology within the AIHW. This collection was formerly known as the Indigenous-specific primary health care national Key Performance Indicators (nKPI) data collection.</w:t>
            </w:r>
          </w:p>
          <w:p>
            <w:pPr/>
            <w:r>
              <w:rPr>
                <w:rStyle w:val="row-content-rich-text"/>
              </w:rPr>
              <w:t xml:space="preserve">Please note that material published prior to June 2023 may use the word ‘Indigenous’. Terms such as 'Aboriginal and Torres Strait Islander', 'Aboriginal' or 'Indigenous' may also be used when referring to the name of an organisation or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 contact details: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1f9311289fbb4e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1a60e5b53743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9311289fbb4e02" /><Relationship Type="http://schemas.openxmlformats.org/officeDocument/2006/relationships/header" Target="/word/header1.xml" Id="Rfdeb45b0084948be" /><Relationship Type="http://schemas.openxmlformats.org/officeDocument/2006/relationships/settings" Target="/word/settings.xml" Id="R5d369ca000c94fb7" /><Relationship Type="http://schemas.openxmlformats.org/officeDocument/2006/relationships/styles" Target="/word/styles.xml" Id="R0155e54efbd044be" /></Relationships>
</file>

<file path=word/_rels/header1.xml.rels>&#65279;<?xml version="1.0" encoding="utf-8"?><Relationships xmlns="http://schemas.openxmlformats.org/package/2006/relationships"><Relationship Type="http://schemas.openxmlformats.org/officeDocument/2006/relationships/image" Target="/media/image.png" Id="R0f1a60e5b53743a3" /></Relationships>
</file>