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c2e59f30ab483c"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8bc4e9cd16432e">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for all employees of the establishment (including contract staff employed by an agency, provided staffing data is also available).</w:t>
            </w:r>
          </w:p>
          <w:p>
            <w:pPr>
              <w:spacing w:after="160"/>
            </w:pPr>
            <w:r>
              <w:rPr>
                <w:rStyle w:val="row-content-rich-text"/>
              </w:rPr>
              <w:t xml:space="preserve">Generally, salary data by staffing categories should be broadly consistent with full-time equivalent staffing numbers. Where staff provide services to more than one hospital (for Local Hospital Networks/Public hospital establishments NMDS) or service unit (for Mental health establishments NMDS), their salaries should be apportioned between all hospitals to whom services are provided on the basis of hours worked in each hospital.</w:t>
            </w:r>
          </w:p>
          <w:p>
            <w:pPr/>
            <w:r>
              <w:rPr>
                <w:rStyle w:val="row-content-rich-text"/>
              </w:rPr>
              <w:t xml:space="preserve">Salary payments for contract staff employed through an agency should be included under salaries for the appropriate staff category provided they are included in full-time equivalent staffing. If they are not, salary payments should be shown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Salaries and wages invariably constitute the major component of recurrent and, indeed, total expenditure for establishments, and are vital to any analysis of health expenditure at the national level. The categories correspond with those relating to full-time equivalent staffing which is a requirement for any proper analysis of average salary costs.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5e4d86dc5246e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a5d46850854059">
              <w:r>
                <w:rPr>
                  <w:rStyle w:val="Hyperlink"/>
                  <w:color w:val="244061"/>
                </w:rPr>
                <w:t xml:space="preserve">Health</w:t>
              </w:r>
            </w:hyperlink>
            <w:r>
              <w:rPr>
                <w:rStyle w:val="row-content"/>
                <w:color w:val="244061"/>
              </w:rPr>
              <w:t xml:space="preserve">, Standard 01/03/2005</w:t>
            </w:r>
          </w:p>
          <w:p>
            <w:pPr>
              <w:spacing w:before="0" w:after="0"/>
            </w:pPr>
            <w:hyperlink w:history="true" r:id="R8be939303d3f4ac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4edda99064d499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574bfe210d84cee">
              <w:r>
                <w:rPr>
                  <w:rStyle w:val="Hyperlink"/>
                  <w:color w:val="244061"/>
                </w:rPr>
                <w:t xml:space="preserve">Tasmanian Health</w:t>
              </w:r>
            </w:hyperlink>
            <w:r>
              <w:rPr>
                <w:rStyle w:val="row-content"/>
                <w:color w:val="244061"/>
              </w:rPr>
              <w:t xml:space="preserve">, Standard 19/09/2016</w:t>
            </w:r>
          </w:p>
          <w:p>
            <w:pPr>
              <w:spacing w:before="0" w:after="0"/>
            </w:pPr>
            <w:hyperlink w:history="true" r:id="R1f394519ffb54d18">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b1b4840eb542a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cecec23b044fef">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b78901f9774306">
              <w:r>
                <w:rPr>
                  <w:rStyle w:val="Hyperlink"/>
                  <w:color w:val="244061"/>
                </w:rPr>
                <w:t xml:space="preserve">Health</w:t>
              </w:r>
            </w:hyperlink>
            <w:r>
              <w:rPr>
                <w:rStyle w:val="row-content"/>
                <w:color w:val="244061"/>
              </w:rPr>
              <w:t xml:space="preserve">, Standard 13/05/2005</w:t>
            </w:r>
          </w:p>
          <w:p>
            <w:pPr>
              <w:spacing w:before="0" w:after="0"/>
            </w:pPr>
            <w:hyperlink w:history="true" r:id="Red96170e75b04c07">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0ecf105c2a4a3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to include all paid leave (recreation, sick and long-service), salary and wage payments relating to workers compensation leave and all staff allowances.</w:t>
            </w:r>
          </w:p>
          <w:p>
            <w:pPr/>
            <w:r>
              <w:rPr>
                <w:rStyle w:val="row-content-rich-text"/>
              </w:rPr>
              <w:t xml:space="preserve">Salary data for contract staff, provided the contract is for the supply of labour (e.g. nursing) rather than products (e.g. photocopier maintenance), should be shown under the appropriate staff salary category provided that corresponding staffing (full-time equivalent) data is available. If not, it should be shown separately.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c811c62dd1466f">
              <w:r>
                <w:rPr>
                  <w:rStyle w:val="Hyperlink"/>
                </w:rPr>
                <w:t xml:space="preserve">Establishment—recurrent expenditure (salaries and wages)</w:t>
              </w:r>
            </w:hyperlink>
          </w:p>
          <w:p>
            <w:pPr>
              <w:spacing w:before="0" w:after="0"/>
            </w:pPr>
            <w:r>
              <w:rPr>
                <w:rStyle w:val="row-content"/>
                <w:color w:val="244061"/>
              </w:rPr>
              <w:t xml:space="preserve">       </w:t>
            </w:r>
            <w:hyperlink w:history="true" r:id="Ra5afb79c6a5f4854">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987ef8301b43c6">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c25d8f14a02142a3">
              <w:r>
                <w:rPr>
                  <w:rStyle w:val="Hyperlink"/>
                  <w:color w:val="244061"/>
                </w:rPr>
                <w:t xml:space="preserve">Health</w:t>
              </w:r>
            </w:hyperlink>
            <w:r>
              <w:rPr>
                <w:rStyle w:val="row-content"/>
                <w:color w:val="244061"/>
              </w:rPr>
              <w:t xml:space="preserve">, Standard 20/01/2021</w:t>
            </w:r>
          </w:p>
          <w:p>
            <w:r>
              <w:br/>
            </w:r>
            <w:hyperlink w:history="true" r:id="Rcadbf4ddb77c4769">
              <w:r>
                <w:rPr>
                  <w:rStyle w:val="Hyperlink"/>
                </w:rPr>
                <w:t xml:space="preserve">Establishment—recurrent expenditure (salaries and wages) (Aboriginal and Torres Strait Islander mental health workers) (financial year), total Australian currency N[N(8)]</w:t>
              </w:r>
            </w:hyperlink>
          </w:p>
          <w:p>
            <w:pPr>
              <w:spacing w:before="0" w:after="0"/>
            </w:pPr>
            <w:r>
              <w:rPr>
                <w:rStyle w:val="row-content"/>
                <w:color w:val="244061"/>
              </w:rPr>
              <w:t xml:space="preserve">       </w:t>
            </w:r>
            <w:hyperlink w:history="true" r:id="Rf41eebb076ae401a">
              <w:r>
                <w:rPr>
                  <w:rStyle w:val="Hyperlink"/>
                  <w:color w:val="244061"/>
                </w:rPr>
                <w:t xml:space="preserve">Health</w:t>
              </w:r>
            </w:hyperlink>
            <w:r>
              <w:rPr>
                <w:rStyle w:val="row-content"/>
                <w:color w:val="244061"/>
              </w:rPr>
              <w:t xml:space="preserve">, Standard 20/01/2021</w:t>
            </w:r>
          </w:p>
          <w:p>
            <w:r>
              <w:br/>
            </w:r>
            <w:hyperlink w:history="true" r:id="R23f0ad17f15f4760">
              <w:r>
                <w:rPr>
                  <w:rStyle w:val="Hyperlink"/>
                </w:rPr>
                <w:t xml:space="preserve">Establishment—recurrent expenditure (salaries and wages) (administrative and clerical staff) (financial year), total Australian currency N[N(8)]</w:t>
              </w:r>
            </w:hyperlink>
          </w:p>
          <w:p>
            <w:pPr>
              <w:spacing w:before="0" w:after="0"/>
            </w:pPr>
            <w:r>
              <w:rPr>
                <w:rStyle w:val="row-content"/>
                <w:color w:val="244061"/>
              </w:rPr>
              <w:t xml:space="preserve">       </w:t>
            </w:r>
            <w:hyperlink w:history="true" r:id="Rf0b556e9eb334645">
              <w:r>
                <w:rPr>
                  <w:rStyle w:val="Hyperlink"/>
                  <w:color w:val="244061"/>
                </w:rPr>
                <w:t xml:space="preserve">Health</w:t>
              </w:r>
            </w:hyperlink>
            <w:r>
              <w:rPr>
                <w:rStyle w:val="row-content"/>
                <w:color w:val="244061"/>
              </w:rPr>
              <w:t xml:space="preserve">, Standard 20/01/2021</w:t>
            </w:r>
          </w:p>
          <w:p>
            <w:r>
              <w:br/>
            </w:r>
            <w:hyperlink w:history="true" r:id="R0005d39186e84cae">
              <w:r>
                <w:rPr>
                  <w:rStyle w:val="Hyperlink"/>
                </w:rPr>
                <w:t xml:space="preserve">Establishment—recurrent expenditure (salaries and wages) (domestic and other staff) (financial year), total Australian currency N[N(8)]</w:t>
              </w:r>
            </w:hyperlink>
          </w:p>
          <w:p>
            <w:pPr>
              <w:spacing w:before="0" w:after="0"/>
            </w:pPr>
            <w:r>
              <w:rPr>
                <w:rStyle w:val="row-content"/>
                <w:color w:val="244061"/>
              </w:rPr>
              <w:t xml:space="preserve">       </w:t>
            </w:r>
            <w:hyperlink w:history="true" r:id="Rce4e2573e4d441c8">
              <w:r>
                <w:rPr>
                  <w:rStyle w:val="Hyperlink"/>
                  <w:color w:val="244061"/>
                </w:rPr>
                <w:t xml:space="preserve">Health</w:t>
              </w:r>
            </w:hyperlink>
            <w:r>
              <w:rPr>
                <w:rStyle w:val="row-content"/>
                <w:color w:val="244061"/>
              </w:rPr>
              <w:t xml:space="preserve">, Standard 20/01/2021</w:t>
            </w:r>
          </w:p>
          <w:p>
            <w:r>
              <w:br/>
            </w:r>
            <w:hyperlink w:history="true" r:id="R077269a9f2374e43">
              <w:r>
                <w:rPr>
                  <w:rStyle w:val="Hyperlink"/>
                </w:rPr>
                <w:t xml:space="preserve">Establishment—recurrent expenditure (salaries and wages) (enrolled nurses) (financial year), total Australian currency N[N(8)]</w:t>
              </w:r>
            </w:hyperlink>
          </w:p>
          <w:p>
            <w:pPr>
              <w:spacing w:before="0" w:after="0"/>
            </w:pPr>
            <w:r>
              <w:rPr>
                <w:rStyle w:val="row-content"/>
                <w:color w:val="244061"/>
              </w:rPr>
              <w:t xml:space="preserve">       </w:t>
            </w:r>
            <w:hyperlink w:history="true" r:id="Rb3afb2602ee6457e">
              <w:r>
                <w:rPr>
                  <w:rStyle w:val="Hyperlink"/>
                  <w:color w:val="244061"/>
                </w:rPr>
                <w:t xml:space="preserve">Health</w:t>
              </w:r>
            </w:hyperlink>
            <w:r>
              <w:rPr>
                <w:rStyle w:val="row-content"/>
                <w:color w:val="244061"/>
              </w:rPr>
              <w:t xml:space="preserve">, Standard 20/01/2021</w:t>
            </w:r>
          </w:p>
          <w:p>
            <w:r>
              <w:br/>
            </w:r>
            <w:hyperlink w:history="true" r:id="Rb708a8d907fc4260">
              <w:r>
                <w:rPr>
                  <w:rStyle w:val="Hyperlink"/>
                </w:rPr>
                <w:t xml:space="preserve">Establishment—recurrent expenditure (salaries and wages) (mental health carer workers) (financial year), total Australian currency N[N(8)]</w:t>
              </w:r>
            </w:hyperlink>
          </w:p>
          <w:p>
            <w:pPr>
              <w:spacing w:before="0" w:after="0"/>
            </w:pPr>
            <w:r>
              <w:rPr>
                <w:rStyle w:val="row-content"/>
                <w:color w:val="244061"/>
              </w:rPr>
              <w:t xml:space="preserve">       </w:t>
            </w:r>
            <w:hyperlink w:history="true" r:id="R3562b4ee1e684570">
              <w:r>
                <w:rPr>
                  <w:rStyle w:val="Hyperlink"/>
                  <w:color w:val="244061"/>
                </w:rPr>
                <w:t xml:space="preserve">Health</w:t>
              </w:r>
            </w:hyperlink>
            <w:r>
              <w:rPr>
                <w:rStyle w:val="row-content"/>
                <w:color w:val="244061"/>
              </w:rPr>
              <w:t xml:space="preserve">, Standard 20/01/2021</w:t>
            </w:r>
          </w:p>
          <w:p>
            <w:r>
              <w:br/>
            </w:r>
            <w:hyperlink w:history="true" r:id="Rd41e25969171420e">
              <w:r>
                <w:rPr>
                  <w:rStyle w:val="Hyperlink"/>
                </w:rPr>
                <w:t xml:space="preserve">Establishment—recurrent expenditure (salaries and wages) (mental health consumer workers) (financial year), total Australian currency N[N(8)]</w:t>
              </w:r>
            </w:hyperlink>
          </w:p>
          <w:p>
            <w:pPr>
              <w:spacing w:before="0" w:after="0"/>
            </w:pPr>
            <w:r>
              <w:rPr>
                <w:rStyle w:val="row-content"/>
                <w:color w:val="244061"/>
              </w:rPr>
              <w:t xml:space="preserve">       </w:t>
            </w:r>
            <w:hyperlink w:history="true" r:id="Rdb6a5a8785e9454a">
              <w:r>
                <w:rPr>
                  <w:rStyle w:val="Hyperlink"/>
                  <w:color w:val="244061"/>
                </w:rPr>
                <w:t xml:space="preserve">Health</w:t>
              </w:r>
            </w:hyperlink>
            <w:r>
              <w:rPr>
                <w:rStyle w:val="row-content"/>
                <w:color w:val="244061"/>
              </w:rPr>
              <w:t xml:space="preserve">, Standard 20/01/2021</w:t>
            </w:r>
          </w:p>
          <w:p>
            <w:r>
              <w:br/>
            </w:r>
            <w:hyperlink w:history="true" r:id="Rc74b1ace6cbc4ccc">
              <w:r>
                <w:rPr>
                  <w:rStyle w:val="Hyperlink"/>
                </w:rPr>
                <w:t xml:space="preserve">Establishment—recurrent expenditure (salaries and wages) (occupational therapists) (financial year), total Australian currency N[N(8)]</w:t>
              </w:r>
            </w:hyperlink>
          </w:p>
          <w:p>
            <w:pPr>
              <w:spacing w:before="0" w:after="0"/>
            </w:pPr>
            <w:r>
              <w:rPr>
                <w:rStyle w:val="row-content"/>
                <w:color w:val="244061"/>
              </w:rPr>
              <w:t xml:space="preserve">       </w:t>
            </w:r>
            <w:hyperlink w:history="true" r:id="R7d1bbe6f9be24929">
              <w:r>
                <w:rPr>
                  <w:rStyle w:val="Hyperlink"/>
                  <w:color w:val="244061"/>
                </w:rPr>
                <w:t xml:space="preserve">Health</w:t>
              </w:r>
            </w:hyperlink>
            <w:r>
              <w:rPr>
                <w:rStyle w:val="row-content"/>
                <w:color w:val="244061"/>
              </w:rPr>
              <w:t xml:space="preserve">, Standard 20/01/2021</w:t>
            </w:r>
          </w:p>
          <w:p>
            <w:r>
              <w:br/>
            </w:r>
            <w:hyperlink w:history="true" r:id="Rd9c8c2211b1442de">
              <w:r>
                <w:rPr>
                  <w:rStyle w:val="Hyperlink"/>
                </w:rPr>
                <w:t xml:space="preserve">Establishment—recurrent expenditure (salaries and wages) (other diagnostic and health professionals) (financial year), total Australian currency N[N(8)]</w:t>
              </w:r>
            </w:hyperlink>
          </w:p>
          <w:p>
            <w:pPr>
              <w:spacing w:before="0" w:after="0"/>
            </w:pPr>
            <w:r>
              <w:rPr>
                <w:rStyle w:val="row-content"/>
                <w:color w:val="244061"/>
              </w:rPr>
              <w:t xml:space="preserve">       </w:t>
            </w:r>
            <w:hyperlink w:history="true" r:id="Rf955e6039a6241dd">
              <w:r>
                <w:rPr>
                  <w:rStyle w:val="Hyperlink"/>
                  <w:color w:val="244061"/>
                </w:rPr>
                <w:t xml:space="preserve">Health</w:t>
              </w:r>
            </w:hyperlink>
            <w:r>
              <w:rPr>
                <w:rStyle w:val="row-content"/>
                <w:color w:val="244061"/>
              </w:rPr>
              <w:t xml:space="preserve">, Standard 20/01/2021</w:t>
            </w:r>
          </w:p>
          <w:p>
            <w:r>
              <w:br/>
            </w:r>
            <w:hyperlink w:history="true" r:id="R028d8ecd03ce4912">
              <w:r>
                <w:rPr>
                  <w:rStyle w:val="Hyperlink"/>
                </w:rPr>
                <w:t xml:space="preserve">Establishment—recurrent expenditure (salaries and wages) (other medical officers) (financial year), total Australian currency N[N(8)]</w:t>
              </w:r>
            </w:hyperlink>
          </w:p>
          <w:p>
            <w:pPr>
              <w:spacing w:before="0" w:after="0"/>
            </w:pPr>
            <w:r>
              <w:rPr>
                <w:rStyle w:val="row-content"/>
                <w:color w:val="244061"/>
              </w:rPr>
              <w:t xml:space="preserve">       </w:t>
            </w:r>
            <w:hyperlink w:history="true" r:id="R5da6cd5caecc488c">
              <w:r>
                <w:rPr>
                  <w:rStyle w:val="Hyperlink"/>
                  <w:color w:val="244061"/>
                </w:rPr>
                <w:t xml:space="preserve">Health</w:t>
              </w:r>
            </w:hyperlink>
            <w:r>
              <w:rPr>
                <w:rStyle w:val="row-content"/>
                <w:color w:val="244061"/>
              </w:rPr>
              <w:t xml:space="preserve">, Standard 20/01/2021</w:t>
            </w:r>
          </w:p>
          <w:p>
            <w:r>
              <w:br/>
            </w:r>
            <w:hyperlink w:history="true" r:id="R63c210c1a2324dfd">
              <w:r>
                <w:rPr>
                  <w:rStyle w:val="Hyperlink"/>
                </w:rPr>
                <w:t xml:space="preserve">Establishment—recurrent expenditure (salaries and wages) (other personal care staff) (financial year), total Australian currency N[N(8)]</w:t>
              </w:r>
            </w:hyperlink>
          </w:p>
          <w:p>
            <w:pPr>
              <w:spacing w:before="0" w:after="0"/>
            </w:pPr>
            <w:r>
              <w:rPr>
                <w:rStyle w:val="row-content"/>
                <w:color w:val="244061"/>
              </w:rPr>
              <w:t xml:space="preserve">       </w:t>
            </w:r>
            <w:hyperlink w:history="true" r:id="R5a42a46adb6c4f6d">
              <w:r>
                <w:rPr>
                  <w:rStyle w:val="Hyperlink"/>
                  <w:color w:val="244061"/>
                </w:rPr>
                <w:t xml:space="preserve">Health</w:t>
              </w:r>
            </w:hyperlink>
            <w:r>
              <w:rPr>
                <w:rStyle w:val="row-content"/>
                <w:color w:val="244061"/>
              </w:rPr>
              <w:t xml:space="preserve">, Standard 20/01/2021</w:t>
            </w:r>
          </w:p>
          <w:p>
            <w:r>
              <w:br/>
            </w:r>
            <w:hyperlink w:history="true" r:id="R8fe33282adef47f2">
              <w:r>
                <w:rPr>
                  <w:rStyle w:val="Hyperlink"/>
                </w:rPr>
                <w:t xml:space="preserve">Establishment—recurrent expenditure (salaries and wages) (psychiatrists) (financial year), total Australian currency N[N(8)]</w:t>
              </w:r>
            </w:hyperlink>
          </w:p>
          <w:p>
            <w:pPr>
              <w:spacing w:before="0" w:after="0"/>
            </w:pPr>
            <w:r>
              <w:rPr>
                <w:rStyle w:val="row-content"/>
                <w:color w:val="244061"/>
              </w:rPr>
              <w:t xml:space="preserve">       </w:t>
            </w:r>
            <w:hyperlink w:history="true" r:id="R7394ef0e79804b55">
              <w:r>
                <w:rPr>
                  <w:rStyle w:val="Hyperlink"/>
                  <w:color w:val="244061"/>
                </w:rPr>
                <w:t xml:space="preserve">Health</w:t>
              </w:r>
            </w:hyperlink>
            <w:r>
              <w:rPr>
                <w:rStyle w:val="row-content"/>
                <w:color w:val="244061"/>
              </w:rPr>
              <w:t xml:space="preserve">, Standard 20/01/2021</w:t>
            </w:r>
          </w:p>
          <w:p>
            <w:r>
              <w:br/>
            </w:r>
            <w:hyperlink w:history="true" r:id="R246cba796a6d4e62">
              <w:r>
                <w:rPr>
                  <w:rStyle w:val="Hyperlink"/>
                </w:rPr>
                <w:t xml:space="preserve">Establishment—recurrent expenditure (salaries and wages) (psychiatry registrars and trainees)(financial year), total Australian currency N[N(8)]</w:t>
              </w:r>
            </w:hyperlink>
          </w:p>
          <w:p>
            <w:pPr>
              <w:spacing w:before="0" w:after="0"/>
            </w:pPr>
            <w:r>
              <w:rPr>
                <w:rStyle w:val="row-content"/>
                <w:color w:val="244061"/>
              </w:rPr>
              <w:t xml:space="preserve">       </w:t>
            </w:r>
            <w:hyperlink w:history="true" r:id="R583670dd29084b5d">
              <w:r>
                <w:rPr>
                  <w:rStyle w:val="Hyperlink"/>
                  <w:color w:val="244061"/>
                </w:rPr>
                <w:t xml:space="preserve">Health</w:t>
              </w:r>
            </w:hyperlink>
            <w:r>
              <w:rPr>
                <w:rStyle w:val="row-content"/>
                <w:color w:val="244061"/>
              </w:rPr>
              <w:t xml:space="preserve">, Standard 20/01/2021</w:t>
            </w:r>
          </w:p>
          <w:p>
            <w:r>
              <w:br/>
            </w:r>
            <w:hyperlink w:history="true" r:id="R2804d9ca8d7443bf">
              <w:r>
                <w:rPr>
                  <w:rStyle w:val="Hyperlink"/>
                </w:rPr>
                <w:t xml:space="preserve">Establishment—recurrent expenditure (salaries and wages) (psychologists) (financial year), total Australian currency N[N(8)]</w:t>
              </w:r>
            </w:hyperlink>
          </w:p>
          <w:p>
            <w:pPr>
              <w:spacing w:before="0" w:after="0"/>
            </w:pPr>
            <w:r>
              <w:rPr>
                <w:rStyle w:val="row-content"/>
                <w:color w:val="244061"/>
              </w:rPr>
              <w:t xml:space="preserve">       </w:t>
            </w:r>
            <w:hyperlink w:history="true" r:id="R8a8ea83b22e24afe">
              <w:r>
                <w:rPr>
                  <w:rStyle w:val="Hyperlink"/>
                  <w:color w:val="244061"/>
                </w:rPr>
                <w:t xml:space="preserve">Health</w:t>
              </w:r>
            </w:hyperlink>
            <w:r>
              <w:rPr>
                <w:rStyle w:val="row-content"/>
                <w:color w:val="244061"/>
              </w:rPr>
              <w:t xml:space="preserve">, Standard 20/01/2021</w:t>
            </w:r>
          </w:p>
          <w:p>
            <w:r>
              <w:br/>
            </w:r>
            <w:hyperlink w:history="true" r:id="Rc7f7adf4b8b94ad6">
              <w:r>
                <w:rPr>
                  <w:rStyle w:val="Hyperlink"/>
                </w:rPr>
                <w:t xml:space="preserve">Establishment—recurrent expenditure (salaries and wages) (registered nurses) (financial year), total Australian currency N[N(8)]</w:t>
              </w:r>
            </w:hyperlink>
          </w:p>
          <w:p>
            <w:pPr>
              <w:spacing w:before="0" w:after="0"/>
            </w:pPr>
            <w:r>
              <w:rPr>
                <w:rStyle w:val="row-content"/>
                <w:color w:val="244061"/>
              </w:rPr>
              <w:t xml:space="preserve">       </w:t>
            </w:r>
            <w:hyperlink w:history="true" r:id="R1c0ec0a509fb402c">
              <w:r>
                <w:rPr>
                  <w:rStyle w:val="Hyperlink"/>
                  <w:color w:val="244061"/>
                </w:rPr>
                <w:t xml:space="preserve">Health</w:t>
              </w:r>
            </w:hyperlink>
            <w:r>
              <w:rPr>
                <w:rStyle w:val="row-content"/>
                <w:color w:val="244061"/>
              </w:rPr>
              <w:t xml:space="preserve">, Standard 20/01/2021</w:t>
            </w:r>
          </w:p>
          <w:p>
            <w:r>
              <w:br/>
            </w:r>
            <w:hyperlink w:history="true" r:id="R6385fb5b211245b7">
              <w:r>
                <w:rPr>
                  <w:rStyle w:val="Hyperlink"/>
                </w:rPr>
                <w:t xml:space="preserve">Establishment—recurrent expenditure (salaries and wages) (social workers) (financial year), total Australian currency N[N(8)]</w:t>
              </w:r>
            </w:hyperlink>
          </w:p>
          <w:p>
            <w:pPr>
              <w:spacing w:before="0" w:after="0"/>
            </w:pPr>
            <w:r>
              <w:rPr>
                <w:rStyle w:val="row-content"/>
                <w:color w:val="244061"/>
              </w:rPr>
              <w:t xml:space="preserve">       </w:t>
            </w:r>
            <w:hyperlink w:history="true" r:id="R78a957135b3f4ef8">
              <w:r>
                <w:rPr>
                  <w:rStyle w:val="Hyperlink"/>
                  <w:color w:val="244061"/>
                </w:rPr>
                <w:t xml:space="preserve">Health</w:t>
              </w:r>
            </w:hyperlink>
            <w:r>
              <w:rPr>
                <w:rStyle w:val="row-content"/>
                <w:color w:val="244061"/>
              </w:rPr>
              <w:t xml:space="preserve">, Standard 20/01/2021</w:t>
            </w:r>
          </w:p>
          <w:p>
            <w:r>
              <w:br/>
            </w:r>
          </w:p>
        </w:tc>
      </w:tr>
    </w:tbl>
    <w:p>
      <w:r>
        <w:br/>
      </w:r>
      <w:r>
        <w:br/>
      </w:r>
    </w:p>
    <w:sectPr>
      <w:footerReference xmlns:r="http://schemas.openxmlformats.org/officeDocument/2006/relationships" w:type="default" r:id="Ra63e3a40e6df45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c269c3098e44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3e3a40e6df456f" /><Relationship Type="http://schemas.openxmlformats.org/officeDocument/2006/relationships/header" Target="/word/header1.xml" Id="Rcf11316fe01a4787" /><Relationship Type="http://schemas.openxmlformats.org/officeDocument/2006/relationships/settings" Target="/word/settings.xml" Id="R72adcb197c384b20" /><Relationship Type="http://schemas.openxmlformats.org/officeDocument/2006/relationships/styles" Target="/word/styles.xml" Id="R6d8414ce195d4c5b" /><Relationship Type="http://schemas.openxmlformats.org/officeDocument/2006/relationships/hyperlink" Target="https://meteor.aihw.gov.au/RegistrationAuthority/12" TargetMode="External" Id="Rde8bc4e9cd16432e" /><Relationship Type="http://schemas.openxmlformats.org/officeDocument/2006/relationships/hyperlink" Target="https://meteor.aihw.gov.au/content/268953" TargetMode="External" Id="R675e4d86dc5246e1" /><Relationship Type="http://schemas.openxmlformats.org/officeDocument/2006/relationships/hyperlink" Target="https://meteor.aihw.gov.au/RegistrationAuthority/12" TargetMode="External" Id="Rffa5d46850854059" /><Relationship Type="http://schemas.openxmlformats.org/officeDocument/2006/relationships/hyperlink" Target="https://meteor.aihw.gov.au/RegistrationAuthority/3" TargetMode="External" Id="R8be939303d3f4ac8" /><Relationship Type="http://schemas.openxmlformats.org/officeDocument/2006/relationships/hyperlink" Target="https://meteor.aihw.gov.au/RegistrationAuthority/8" TargetMode="External" Id="R44edda99064d4995" /><Relationship Type="http://schemas.openxmlformats.org/officeDocument/2006/relationships/hyperlink" Target="https://meteor.aihw.gov.au/RegistrationAuthority/15" TargetMode="External" Id="R6574bfe210d84cee" /><Relationship Type="http://schemas.openxmlformats.org/officeDocument/2006/relationships/hyperlink" Target="https://meteor.aihw.gov.au/RegistrationAuthority/2" TargetMode="External" Id="R1f394519ffb54d18" /><Relationship Type="http://schemas.openxmlformats.org/officeDocument/2006/relationships/hyperlink" Target="https://meteor.aihw.gov.au/content/281131" TargetMode="External" Id="Rebb1b4840eb542a4" /><Relationship Type="http://schemas.openxmlformats.org/officeDocument/2006/relationships/hyperlink" Target="https://meteor.aihw.gov.au/content/269132" TargetMode="External" Id="R7ececec23b044fef" /><Relationship Type="http://schemas.openxmlformats.org/officeDocument/2006/relationships/hyperlink" Target="https://meteor.aihw.gov.au/RegistrationAuthority/12" TargetMode="External" Id="R21b78901f9774306" /><Relationship Type="http://schemas.openxmlformats.org/officeDocument/2006/relationships/hyperlink" Target="https://meteor.aihw.gov.au/RegistrationAuthority/11" TargetMode="External" Id="Red96170e75b04c07" /><Relationship Type="http://schemas.openxmlformats.org/officeDocument/2006/relationships/hyperlink" Target="https://meteor.aihw.gov.au/content/274646" TargetMode="External" Id="Rd20ecf105c2a4a34" /><Relationship Type="http://schemas.openxmlformats.org/officeDocument/2006/relationships/hyperlink" Target="https://meteor.aihw.gov.au/content/269717" TargetMode="External" Id="R36c811c62dd1466f" /><Relationship Type="http://schemas.openxmlformats.org/officeDocument/2006/relationships/hyperlink" Target="https://meteor.aihw.gov.au/RegistrationAuthority/12" TargetMode="External" Id="Ra5afb79c6a5f4854" /><Relationship Type="http://schemas.openxmlformats.org/officeDocument/2006/relationships/hyperlink" Target="https://meteor.aihw.gov.au/content/736983" TargetMode="External" Id="Rad987ef8301b43c6" /><Relationship Type="http://schemas.openxmlformats.org/officeDocument/2006/relationships/hyperlink" Target="https://meteor.aihw.gov.au/RegistrationAuthority/12" TargetMode="External" Id="Rc25d8f14a02142a3" /><Relationship Type="http://schemas.openxmlformats.org/officeDocument/2006/relationships/hyperlink" Target="https://meteor.aihw.gov.au/content/736981" TargetMode="External" Id="Rcadbf4ddb77c4769" /><Relationship Type="http://schemas.openxmlformats.org/officeDocument/2006/relationships/hyperlink" Target="https://meteor.aihw.gov.au/RegistrationAuthority/12" TargetMode="External" Id="Rf41eebb076ae401a" /><Relationship Type="http://schemas.openxmlformats.org/officeDocument/2006/relationships/hyperlink" Target="https://meteor.aihw.gov.au/content/736979" TargetMode="External" Id="R23f0ad17f15f4760" /><Relationship Type="http://schemas.openxmlformats.org/officeDocument/2006/relationships/hyperlink" Target="https://meteor.aihw.gov.au/RegistrationAuthority/12" TargetMode="External" Id="Rf0b556e9eb334645" /><Relationship Type="http://schemas.openxmlformats.org/officeDocument/2006/relationships/hyperlink" Target="https://meteor.aihw.gov.au/content/736977" TargetMode="External" Id="R0005d39186e84cae" /><Relationship Type="http://schemas.openxmlformats.org/officeDocument/2006/relationships/hyperlink" Target="https://meteor.aihw.gov.au/RegistrationAuthority/12" TargetMode="External" Id="Rce4e2573e4d441c8" /><Relationship Type="http://schemas.openxmlformats.org/officeDocument/2006/relationships/hyperlink" Target="https://meteor.aihw.gov.au/content/736975" TargetMode="External" Id="R077269a9f2374e43" /><Relationship Type="http://schemas.openxmlformats.org/officeDocument/2006/relationships/hyperlink" Target="https://meteor.aihw.gov.au/RegistrationAuthority/12" TargetMode="External" Id="Rb3afb2602ee6457e" /><Relationship Type="http://schemas.openxmlformats.org/officeDocument/2006/relationships/hyperlink" Target="https://meteor.aihw.gov.au/content/736973" TargetMode="External" Id="Rb708a8d907fc4260" /><Relationship Type="http://schemas.openxmlformats.org/officeDocument/2006/relationships/hyperlink" Target="https://meteor.aihw.gov.au/RegistrationAuthority/12" TargetMode="External" Id="R3562b4ee1e684570" /><Relationship Type="http://schemas.openxmlformats.org/officeDocument/2006/relationships/hyperlink" Target="https://meteor.aihw.gov.au/content/736971" TargetMode="External" Id="Rd41e25969171420e" /><Relationship Type="http://schemas.openxmlformats.org/officeDocument/2006/relationships/hyperlink" Target="https://meteor.aihw.gov.au/RegistrationAuthority/12" TargetMode="External" Id="Rdb6a5a8785e9454a" /><Relationship Type="http://schemas.openxmlformats.org/officeDocument/2006/relationships/hyperlink" Target="https://meteor.aihw.gov.au/content/736969" TargetMode="External" Id="Rc74b1ace6cbc4ccc" /><Relationship Type="http://schemas.openxmlformats.org/officeDocument/2006/relationships/hyperlink" Target="https://meteor.aihw.gov.au/RegistrationAuthority/12" TargetMode="External" Id="R7d1bbe6f9be24929" /><Relationship Type="http://schemas.openxmlformats.org/officeDocument/2006/relationships/hyperlink" Target="https://meteor.aihw.gov.au/content/736967" TargetMode="External" Id="Rd9c8c2211b1442de" /><Relationship Type="http://schemas.openxmlformats.org/officeDocument/2006/relationships/hyperlink" Target="https://meteor.aihw.gov.au/RegistrationAuthority/12" TargetMode="External" Id="Rf955e6039a6241dd" /><Relationship Type="http://schemas.openxmlformats.org/officeDocument/2006/relationships/hyperlink" Target="https://meteor.aihw.gov.au/content/736933" TargetMode="External" Id="R028d8ecd03ce4912" /><Relationship Type="http://schemas.openxmlformats.org/officeDocument/2006/relationships/hyperlink" Target="https://meteor.aihw.gov.au/RegistrationAuthority/12" TargetMode="External" Id="R5da6cd5caecc488c" /><Relationship Type="http://schemas.openxmlformats.org/officeDocument/2006/relationships/hyperlink" Target="https://meteor.aihw.gov.au/content/736965" TargetMode="External" Id="R63c210c1a2324dfd" /><Relationship Type="http://schemas.openxmlformats.org/officeDocument/2006/relationships/hyperlink" Target="https://meteor.aihw.gov.au/RegistrationAuthority/12" TargetMode="External" Id="R5a42a46adb6c4f6d" /><Relationship Type="http://schemas.openxmlformats.org/officeDocument/2006/relationships/hyperlink" Target="https://meteor.aihw.gov.au/content/736961" TargetMode="External" Id="R8fe33282adef47f2" /><Relationship Type="http://schemas.openxmlformats.org/officeDocument/2006/relationships/hyperlink" Target="https://meteor.aihw.gov.au/RegistrationAuthority/12" TargetMode="External" Id="R7394ef0e79804b55" /><Relationship Type="http://schemas.openxmlformats.org/officeDocument/2006/relationships/hyperlink" Target="https://meteor.aihw.gov.au/content/736956" TargetMode="External" Id="R246cba796a6d4e62" /><Relationship Type="http://schemas.openxmlformats.org/officeDocument/2006/relationships/hyperlink" Target="https://meteor.aihw.gov.au/RegistrationAuthority/12" TargetMode="External" Id="R583670dd29084b5d" /><Relationship Type="http://schemas.openxmlformats.org/officeDocument/2006/relationships/hyperlink" Target="https://meteor.aihw.gov.au/content/736954" TargetMode="External" Id="R2804d9ca8d7443bf" /><Relationship Type="http://schemas.openxmlformats.org/officeDocument/2006/relationships/hyperlink" Target="https://meteor.aihw.gov.au/RegistrationAuthority/12" TargetMode="External" Id="R8a8ea83b22e24afe" /><Relationship Type="http://schemas.openxmlformats.org/officeDocument/2006/relationships/hyperlink" Target="https://meteor.aihw.gov.au/content/736950" TargetMode="External" Id="Rc7f7adf4b8b94ad6" /><Relationship Type="http://schemas.openxmlformats.org/officeDocument/2006/relationships/hyperlink" Target="https://meteor.aihw.gov.au/RegistrationAuthority/12" TargetMode="External" Id="R1c0ec0a509fb402c" /><Relationship Type="http://schemas.openxmlformats.org/officeDocument/2006/relationships/hyperlink" Target="https://meteor.aihw.gov.au/content/736948" TargetMode="External" Id="R6385fb5b211245b7" /><Relationship Type="http://schemas.openxmlformats.org/officeDocument/2006/relationships/hyperlink" Target="https://meteor.aihw.gov.au/RegistrationAuthority/12" TargetMode="External" Id="R78a957135b3f4ef8" /></Relationships>
</file>

<file path=word/_rels/header1.xml.rels>&#65279;<?xml version="1.0" encoding="utf-8"?><Relationships xmlns="http://schemas.openxmlformats.org/package/2006/relationships"><Relationship Type="http://schemas.openxmlformats.org/officeDocument/2006/relationships/image" Target="/media/image.png" Id="Rf1c269c3098e4477" /></Relationships>
</file>