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f606e11521e4ad7" /></Relationships>
</file>

<file path=word/document.xml><?xml version="1.0" encoding="utf-8"?>
<w:document xmlns:r="http://schemas.openxmlformats.org/officeDocument/2006/relationships" xmlns:w="http://schemas.openxmlformats.org/wordprocessingml/2006/main">
  <w:body>
    <w:p>
      <w:pPr>
        <w:pStyle w:val="Title"/>
      </w:pPr>
      <w:r>
        <w:t>Antimicrobial stewardship: 8a-The proportion of patients for whom the perioperative prophylactic antimicrobial is prescribed in accordance with the current Therapeutic Guidelines or evidence-based, locally endorsed guidelines</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Antimicrobial stewardship: 8a-The proportion of patients for whom the perioperative prophylactic antimicrobial is prescribed in accordance with the current Therapeutic Guidelines or evidence-based, locally endorsed guidelines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8a-The proportion of patients for whom the perioperative prophylactic antimicrobial is prescribed in accordance with the current Therapeutic Guidelines or evidence-based, locally endorsed guidelines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736894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3c90cea1588466c">
              <w:r>
                <w:rPr>
                  <w:rStyle w:val="Hyperlink"/>
                  <w:color w:val="244061"/>
                </w:rPr>
                <w:t xml:space="preserve">Australian Commission on Safety and Quality in Health Care</w:t>
              </w:r>
            </w:hyperlink>
            <w:r>
              <w:rPr>
                <w:rStyle w:val="row-content"/>
                <w:color w:val="244061"/>
              </w:rPr>
              <w:t xml:space="preserve">, Standard 24/12/2020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patients for whom the perioperative prophylactic antimicrobial is prescribed in accordance with the current </w:t>
            </w:r>
            <w:r>
              <w:rPr>
                <w:rStyle w:val="row-content-rich-text"/>
                <w:i/>
              </w:rPr>
              <w:t xml:space="preserve">Therapeutic Guidelines</w:t>
            </w:r>
            <w:r>
              <w:rPr>
                <w:rStyle w:val="row-content-rich-text"/>
              </w:rPr>
              <w:t xml:space="preserve"> or evidence-based, locally endorsed guidelines.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7af079f54544c21">
              <w:r>
                <w:rPr>
                  <w:rStyle w:val="Hyperlink"/>
                </w:rPr>
                <w:t xml:space="preserve">Clinical care standard indicators: antimicrobial stewardship 2020</w:t>
              </w:r>
            </w:hyperlink>
          </w:p>
          <w:p>
            <w:pPr>
              <w:pStyle w:val="registration-status"/>
              <w:spacing w:before="0" w:after="0"/>
            </w:pPr>
            <w:hyperlink w:history="true" r:id="R057ff0b0cf954731">
              <w:r>
                <w:rPr>
                  <w:rStyle w:val="Hyperlink"/>
                  <w:color w:val="244061"/>
                </w:rPr>
                <w:t xml:space="preserve">Australian Commission on Safety and Quality in Health Care</w:t>
              </w:r>
            </w:hyperlink>
            <w:r>
              <w:rPr>
                <w:rStyle w:val="row-content"/>
                <w:color w:val="244061"/>
              </w:rPr>
              <w:t xml:space="preserve">, Standard 24/12/2020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numerator and denominator exclude patients undergoing surgery or a procedure for which there are no documented guidelines for the use of prophylactic antimicrobials or where prophylaxis is not indicated due to the patient’s current antimicrobial therapy.</w:t>
            </w:r>
          </w:p>
          <w:p>
            <w:pPr>
              <w:spacing w:after="160"/>
            </w:pPr>
            <w:r>
              <w:rPr>
                <w:rStyle w:val="row-content-rich-text"/>
              </w:rPr>
              <w:t xml:space="preserve">For the numerator, 'in accordance' means that the choice of antimicrobial (active ingredient) aligns with the current </w:t>
            </w:r>
            <w:r>
              <w:rPr>
                <w:rStyle w:val="row-content-rich-text"/>
                <w:i/>
              </w:rPr>
              <w:t xml:space="preserve">Therapeutic Guidelines</w:t>
            </w:r>
            <w:r>
              <w:rPr>
                <w:rStyle w:val="row-content-rich-text"/>
              </w:rPr>
              <w:t xml:space="preserve"> or evidence-based, locally endorsed guidelines, taking into consideration all relevant patient factors (for example, colonisation with a multi-drug resistant organism).</w:t>
            </w:r>
          </w:p>
          <w:p>
            <w:pPr>
              <w:spacing w:after="160"/>
            </w:pPr>
            <w:r>
              <w:rPr>
                <w:rStyle w:val="row-content-rich-text"/>
              </w:rPr>
              <w:t xml:space="preserve">If surgical antimicrobial prophylaxis is not indicated for the surgery or procedure and a prophylactic antimicrobial is not prescribed in accordance with the guidelines, the patient should be included in the numerator.</w:t>
            </w:r>
          </w:p>
          <w:p>
            <w:pPr>
              <w:spacing w:after="160"/>
            </w:pPr>
            <w:r>
              <w:rPr>
                <w:rStyle w:val="row-content-rich-text"/>
              </w:rPr>
              <w:t xml:space="preserve">If the patient undergoing surgery or a procedure receives multiple prophylactic antimicrobials (including topical and other off-label use), then all prophylactic antimicrobials should be in accordance with the guidelines for the patient to be counted in the numerator.  </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 x 100​</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undergoing surgery or a procedure who receive the appropriate antimicrobial prophylaxis in accordance with the current </w:t>
            </w:r>
            <w:r>
              <w:rPr>
                <w:rStyle w:val="row-content-rich-text"/>
                <w:i/>
              </w:rPr>
              <w:t xml:space="preserve">Therapeutic Guidelines</w:t>
            </w:r>
            <w:r>
              <w:rPr>
                <w:rStyle w:val="row-content-rich-text"/>
              </w:rPr>
              <w:t xml:space="preserve"> or evidence-based, locally endorsed guidelines.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undergoing surgery or a procedure for which there are documented guidelines on the use of prophylactic antimicrobials.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 per the </w:t>
            </w:r>
            <w:r>
              <w:rPr>
                <w:rStyle w:val="row-content-rich-text"/>
                <w:i/>
              </w:rPr>
              <w:t xml:space="preserve">Antimicrobial Stewardship Clinical Care Standard </w:t>
            </w:r>
            <w:r>
              <w:rPr>
                <w:rStyle w:val="row-content-rich-text"/>
              </w:rPr>
              <w:t xml:space="preserve">(ACSQHC 2020), the term ‘locally endorsed guidelines’ should meet the following specific requirements:  </w:t>
            </w:r>
          </w:p>
          <w:p>
            <w:pPr>
              <w:spacing w:after="160"/>
            </w:pPr>
            <w:r>
              <w:rPr>
                <w:rStyle w:val="row-content-rich-text"/>
                <w:i/>
              </w:rPr>
              <w:t xml:space="preserve">Therapeutic Guidelines: Antibiotic</w:t>
            </w:r>
            <w:r>
              <w:rPr>
                <w:rStyle w:val="row-content-rich-text"/>
              </w:rPr>
              <w:t xml:space="preserve"> provides national, evidence-based guidelines for antimicrobial use in Australia. However, in some cases, evidence-based and formally endorsed local adaptations may be more relevant to local patterns of antimicrobial resistance or specific patient populations requiring a localised approach or with highly specialised diagnoses out of the scope of </w:t>
            </w:r>
            <w:r>
              <w:rPr>
                <w:rStyle w:val="row-content-rich-text"/>
                <w:i/>
              </w:rPr>
              <w:t xml:space="preserve">Therapeutic Guidelines</w:t>
            </w:r>
            <w:r>
              <w:rPr>
                <w:rStyle w:val="row-content-rich-text"/>
              </w:rPr>
              <w:t xml:space="preserve">. Ensure that local adaptations of guidelines are based on </w:t>
            </w:r>
            <w:r>
              <w:rPr>
                <w:rStyle w:val="row-content-rich-text"/>
                <w:i/>
              </w:rPr>
              <w:t xml:space="preserve">Therapeutic Guidelines</w:t>
            </w:r>
            <w:r>
              <w:rPr>
                <w:rStyle w:val="row-content-rich-text"/>
              </w:rPr>
              <w:t xml:space="preserve"> and, where they deviate, a clear rationale based on published clinical evidence and local epidemiology is documented and endorsed by a governing body. Endorsing bodies may include peer review at a drug and therapeutics, antimicrobial stewardship or medicines advisory committee, or equivalent.</w:t>
            </w:r>
          </w:p>
          <w:p>
            <w:pPr>
              <w:spacing w:after="160"/>
            </w:pPr>
            <w:r>
              <w:rPr>
                <w:rStyle w:val="row-content-rich-text"/>
              </w:rPr>
              <w:t xml:space="preserve">See the </w:t>
            </w:r>
            <w:r>
              <w:rPr>
                <w:rStyle w:val="row-content-rich-text"/>
                <w:i/>
              </w:rPr>
              <w:t xml:space="preserve">Antimicrobial Stewardship Clinical Care Standard </w:t>
            </w:r>
            <w:r>
              <w:rPr>
                <w:rStyle w:val="row-content-rich-text"/>
              </w:rPr>
              <w:t xml:space="preserve">(ACSQHC 2020) for key considerations to optimise the use of antimicrobials in surgical prophylaxis.</w:t>
            </w:r>
          </w:p>
          <w:p>
            <w:pPr/>
            <w:r>
              <w:rPr>
                <w:rStyle w:val="row-content-rich-text"/>
              </w:rPr>
              <w:t xml:space="preserve">Services may select specific procedures to focus on as part of the audit process, based on their mix of patients and priorities.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Applicable settings:</w:t>
            </w:r>
          </w:p>
          <w:p>
            <w:pPr>
              <w:spacing w:after="160"/>
            </w:pPr>
            <w:r>
              <w:rPr>
                <w:rStyle w:val="row-content-rich-text"/>
              </w:rPr>
              <w:t xml:space="preserve">All hospital settings, including public and private hospitals, subacute facilities, outpatient and day procedure services</w:t>
            </w:r>
          </w:p>
          <w:p>
            <w:pPr>
              <w:spacing w:after="160"/>
            </w:pPr>
            <w:r>
              <w:rPr>
                <w:rStyle w:val="row-content-rich-text"/>
              </w:rPr>
              <w:t xml:space="preserve">General practice and other community and primary healthcare settings such as Hospital in the Home, Aboriginal community controlled health services, dental practices and community pharmacies</w:t>
            </w:r>
          </w:p>
          <w:p>
            <w:pPr/>
            <w:r>
              <w:rPr>
                <w:rStyle w:val="row-content-rich-text"/>
              </w:rPr>
              <w:t xml:space="preserve">Residential aged care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on Safety and Quality in Health Care. Antimicrobial Stewardship Clinical Care Standard. Sydney: ACSQHC; 2020.</w:t>
            </w:r>
          </w:p>
        </w:tc>
      </w:tr>
    </w:tbl>
    <w:p>
      <w:r>
        <w:br/>
      </w:r>
    </w:p>
    <w:sectPr>
      <w:footerReference xmlns:r="http://schemas.openxmlformats.org/officeDocument/2006/relationships" w:type="default" r:id="R2fd767c80ffc4ff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736894</w:t>
    </w:r>
    <w:r>
      <w:ptab w:alignment="right" w:relativeTo="margin" w:leader="none"/>
    </w:r>
    <w:r>
      <w:t xml:space="preserve">Page </w:t>
    </w:r>
    <w:fldSimple w:instr="PAGE"/>
    <w:r>
      <w:t xml:space="preserve"> of </w:t>
    </w:r>
    <w:fldSimple w:instr="NUMPAGES"/>
    <w:r>
      <w:ptab w:alignment="left" w:relativeTo="margin" w:leader="none"/>
    </w:r>
    <w:r>
      <w:t>Downloaded 20-Jun-2024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2f09c00b53b4e9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fd767c80ffc4ff2" /><Relationship Type="http://schemas.openxmlformats.org/officeDocument/2006/relationships/header" Target="/word/header1.xml" Id="R35c82926b3e6475b" /><Relationship Type="http://schemas.openxmlformats.org/officeDocument/2006/relationships/settings" Target="/word/settings.xml" Id="Rc7f90885a22d40ae" /><Relationship Type="http://schemas.openxmlformats.org/officeDocument/2006/relationships/styles" Target="/word/styles.xml" Id="Radda726f001d4e17" /><Relationship Type="http://schemas.openxmlformats.org/officeDocument/2006/relationships/hyperlink" Target="https://meteor.aihw.gov.au/RegistrationAuthority/18" TargetMode="External" Id="Rf3c90cea1588466c" /><Relationship Type="http://schemas.openxmlformats.org/officeDocument/2006/relationships/hyperlink" Target="https://meteor.aihw.gov.au/content/736878" TargetMode="External" Id="R57af079f54544c21" /><Relationship Type="http://schemas.openxmlformats.org/officeDocument/2006/relationships/hyperlink" Target="https://meteor.aihw.gov.au/RegistrationAuthority/18" TargetMode="External" Id="R057ff0b0cf954731" /></Relationships>
</file>

<file path=word/_rels/header1.xml.rels>&#65279;<?xml version="1.0" encoding="utf-8"?><Relationships xmlns="http://schemas.openxmlformats.org/package/2006/relationships"><Relationship Type="http://schemas.openxmlformats.org/officeDocument/2006/relationships/image" Target="/media/image.png" Id="R62f09c00b53b4e91" /></Relationships>
</file>