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37a8c2939e4ef6"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09-Proportion of patients with a PIVC in situ who have been assessed in the last 24 hours to determine the ongoing need for their PIVC</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09-Proportion of patients with a PIVC in situ who have been assessed in the last 24 hours to determine the ongoing need for their PIVC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9-Proportion of patients with a PIVC in situ who have been assessed in the last 24 hours to determine the ongoing need for their PIVC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c0b5f1b64d459c">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with a PIVC in situ who have been assessed in the last 24 hours to determine the ongoing need for their PIVC.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need for a PIVC should be regularly reviewed and the PIVC promptly removed if it is are no longer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34dfb4eae494d29">
              <w:r>
                <w:rPr>
                  <w:rStyle w:val="Hyperlink"/>
                </w:rPr>
                <w:t xml:space="preserve">Clinical care standard indicators: Management of Peripheral Intravenous Catheters </w:t>
              </w:r>
            </w:hyperlink>
          </w:p>
          <w:p>
            <w:pPr>
              <w:spacing w:before="0" w:after="0"/>
            </w:pPr>
            <w:r>
              <w:rPr>
                <w:rStyle w:val="row-content"/>
                <w:color w:val="244061"/>
              </w:rPr>
              <w:t xml:space="preserve">       </w:t>
            </w:r>
            <w:hyperlink w:history="true" r:id="R2b56aa9d0b6242cc">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include patients with a PIVC in situ with a dwell time ≧ 24 hours. Time of last assessment must be documented in the patient's medical record.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 who have been assessed in the last 24 hours to determine the ongoing need for their PIVC.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Peripheral Venous Access clinical care standard. Australian Commission on Safety and Quality in Health Care, Sydney.</w:t>
            </w:r>
          </w:p>
          <w:p>
            <w:pPr/>
            <w:r>
              <w:rPr>
                <w:rStyle w:val="row-content-rich-text"/>
              </w:rPr>
              <w:t xml:space="preserve">Schults JA, Kleidon T, Chopra C, et al. International recommendations for a vascular access minimum data set: A Delphi consensus-building study. 2020. BMJ Quality &amp; Safety.</w:t>
            </w:r>
          </w:p>
        </w:tc>
      </w:tr>
    </w:tbl>
    <w:p>
      <w:r>
        <w:br/>
      </w:r>
    </w:p>
    <w:sectPr>
      <w:footerReference xmlns:r="http://schemas.openxmlformats.org/officeDocument/2006/relationships" w:type="default" r:id="R8dbb6def5a494a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735087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6945e48d5c4d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bb6def5a494a79" /><Relationship Type="http://schemas.openxmlformats.org/officeDocument/2006/relationships/header" Target="/word/header1.xml" Id="R496f8153ec1e4db2" /><Relationship Type="http://schemas.openxmlformats.org/officeDocument/2006/relationships/settings" Target="/word/settings.xml" Id="R6f0ad8c7c4224780" /><Relationship Type="http://schemas.openxmlformats.org/officeDocument/2006/relationships/styles" Target="/word/styles.xml" Id="R4b2a3fa17d6342a7" /><Relationship Type="http://schemas.openxmlformats.org/officeDocument/2006/relationships/hyperlink" Target="https://meteor.aihw.gov.au/RegistrationAuthority/18" TargetMode="External" Id="R98c0b5f1b64d459c" /><Relationship Type="http://schemas.openxmlformats.org/officeDocument/2006/relationships/hyperlink" Target="https://meteor.aihw.gov.au/content/732513" TargetMode="External" Id="Ra34dfb4eae494d29" /><Relationship Type="http://schemas.openxmlformats.org/officeDocument/2006/relationships/hyperlink" Target="https://meteor.aihw.gov.au/RegistrationAuthority/18" TargetMode="External" Id="R2b56aa9d0b6242cc" /></Relationships>
</file>

<file path=word/_rels/header1.xml.rels>&#65279;<?xml version="1.0" encoding="utf-8"?><Relationships xmlns="http://schemas.openxmlformats.org/package/2006/relationships"><Relationship Type="http://schemas.openxmlformats.org/officeDocument/2006/relationships/image" Target="/media/image.png" Id="R8c6945e48d5c4d4e" /></Relationships>
</file>