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2a6eeb54f940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23c19141e43f8">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5016b5471f4c77">
              <w:r>
                <w:rPr>
                  <w:rStyle w:val="Hyperlink"/>
                </w:rPr>
                <w:t xml:space="preserve">National Healthcare Agreement (2021)</w:t>
              </w:r>
            </w:hyperlink>
          </w:p>
          <w:p>
            <w:pPr>
              <w:spacing w:before="0" w:after="0"/>
            </w:pPr>
            <w:r>
              <w:rPr>
                <w:rStyle w:val="row-content"/>
                <w:color w:val="244061"/>
              </w:rPr>
              <w:t xml:space="preserve">       </w:t>
            </w:r>
            <w:hyperlink w:history="true" r:id="Rbd3d20023c324e97">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200582ff1749e6">
              <w:r>
                <w:rPr>
                  <w:rStyle w:val="Hyperlink"/>
                </w:rPr>
                <w:t xml:space="preserve">Aged Care</w:t>
              </w:r>
            </w:hyperlink>
          </w:p>
          <w:p>
            <w:pPr>
              <w:spacing w:before="0" w:after="0"/>
            </w:pPr>
            <w:r>
              <w:rPr>
                <w:rStyle w:val="row-content"/>
                <w:color w:val="244061"/>
              </w:rPr>
              <w:t xml:space="preserve">       </w:t>
            </w:r>
            <w:hyperlink w:history="true" r:id="R493c5183fa25454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0a34c8e641e84775">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facility—re-accreditation status</w:t>
            </w:r>
          </w:p>
          <w:p>
            <w:r>
              <w:rPr>
                <w:rStyle w:val="row-content"/>
              </w:rPr>
              <w:t xml:space="preserve"> </w:t>
            </w:r>
          </w:p>
          <w:p>
            <w:r>
              <w:rPr>
                <w:rStyle w:val="row-content"/>
                <w:b/>
              </w:rPr>
              <w:t xml:space="preserve">Data Source</w:t>
            </w:r>
          </w:p>
          <w:p>
            <w:hyperlink w:history="true" r:id="Redcce31b1a534503">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671f0ac606a64047">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facility—geographical location</w:t>
            </w:r>
          </w:p>
          <w:p>
            <w:r>
              <w:rPr>
                <w:rStyle w:val="row-content"/>
              </w:rPr>
              <w:t xml:space="preserve"> </w:t>
            </w:r>
          </w:p>
          <w:p>
            <w:r>
              <w:rPr>
                <w:rStyle w:val="row-content"/>
                <w:b/>
              </w:rPr>
              <w:t xml:space="preserve">Data Source</w:t>
            </w:r>
          </w:p>
          <w:p>
            <w:hyperlink w:history="true" r:id="Rb4597bc9137847e8">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facility—number of residential aged care places</w:t>
            </w:r>
          </w:p>
          <w:p>
            <w:r>
              <w:rPr>
                <w:rStyle w:val="row-content"/>
              </w:rPr>
              <w:t xml:space="preserve"> </w:t>
            </w:r>
          </w:p>
          <w:p>
            <w:r>
              <w:rPr>
                <w:rStyle w:val="row-content"/>
                <w:b/>
              </w:rPr>
              <w:t xml:space="preserve">Data Source</w:t>
            </w:r>
          </w:p>
          <w:p>
            <w:hyperlink w:history="true" r:id="R36b80964a4464ee0">
              <w:r>
                <w:rPr>
                  <w:rStyle w:val="Hyperlink"/>
                </w:rPr>
                <w:t xml:space="preserve">Aged Care Quality and Safety Commission (ACQSC)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2019–20.</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Aged Care Quality and Safety Commission (ACQSC)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ACQSC by the Australian Government Department of Health; and</w:t>
            </w:r>
          </w:p>
          <w:p>
            <w:pPr>
              <w:pStyle w:val="ListParagraph"/>
              <w:numPr>
                <w:ilvl w:val="0"/>
                <w:numId w:val="3"/>
              </w:numPr>
            </w:pPr>
            <w:r>
              <w:rPr>
                <w:rStyle w:val="row-content-rich-text"/>
              </w:rPr>
              <w:t xml:space="preserve">has satisfied the ACQSC that it undertakes continuous improvement.</w:t>
            </w:r>
          </w:p>
          <w:p>
            <w:pPr/>
            <w:r>
              <w:rPr>
                <w:rStyle w:val="row-content-rich-text"/>
              </w:rPr>
              <w:t xml:space="preserve">Summary national and state/territory data appear in the annual report of the ACQSC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06766fc72b4c46">
              <w:r>
                <w:rPr>
                  <w:rStyle w:val="Hyperlink"/>
                </w:rPr>
                <w:t xml:space="preserve">Aged Care Quality and Safety Commission (ACQSC)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Aged Care Quality and Safety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19a0b63aa74288">
              <w:r>
                <w:rPr>
                  <w:rStyle w:val="Hyperlink"/>
                </w:rPr>
                <w:t xml:space="preserve">National Healthcare Agreement: PI 28–Proportion of residential aged care services that are three year re-accredited, 2020</w:t>
              </w:r>
            </w:hyperlink>
          </w:p>
          <w:p>
            <w:pPr>
              <w:spacing w:before="0" w:after="0"/>
            </w:pPr>
            <w:r>
              <w:rPr>
                <w:rStyle w:val="row-content"/>
                <w:color w:val="244061"/>
              </w:rPr>
              <w:t xml:space="preserve">       </w:t>
            </w:r>
            <w:hyperlink w:history="true" r:id="Rcca4efc46f5946c9">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e6d8c8f1879d4e56">
              <w:r>
                <w:rPr>
                  <w:rStyle w:val="Hyperlink"/>
                </w:rPr>
                <w:t xml:space="preserve">National Healthcare Agreement: PI 28–Proportion of residential aged care services that are three year re-accredited, 2022</w:t>
              </w:r>
            </w:hyperlink>
          </w:p>
          <w:p>
            <w:pPr>
              <w:spacing w:before="0" w:after="0"/>
            </w:pPr>
            <w:r>
              <w:rPr>
                <w:rStyle w:val="row-content"/>
                <w:color w:val="244061"/>
              </w:rPr>
              <w:t xml:space="preserve">       </w:t>
            </w:r>
            <w:hyperlink w:history="true" r:id="R96ed4a8052f3483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9f84076ba96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734999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1ef95e71b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84076ba964335" /><Relationship Type="http://schemas.openxmlformats.org/officeDocument/2006/relationships/header" Target="/word/header1.xml" Id="R207a3762340d456a" /><Relationship Type="http://schemas.openxmlformats.org/officeDocument/2006/relationships/settings" Target="/word/settings.xml" Id="Ra85f94ed304743b8" /><Relationship Type="http://schemas.openxmlformats.org/officeDocument/2006/relationships/styles" Target="/word/styles.xml" Id="R37357b21fe254306" /><Relationship Type="http://schemas.openxmlformats.org/officeDocument/2006/relationships/hyperlink" Target="https://meteor.aihw.gov.au/RegistrationAuthority/12" TargetMode="External" Id="R72123c19141e43f8" /><Relationship Type="http://schemas.openxmlformats.org/officeDocument/2006/relationships/hyperlink" Target="https://meteor.aihw.gov.au/content/725844" TargetMode="External" Id="Rca5016b5471f4c77" /><Relationship Type="http://schemas.openxmlformats.org/officeDocument/2006/relationships/hyperlink" Target="https://meteor.aihw.gov.au/RegistrationAuthority/12" TargetMode="External" Id="Rbd3d20023c324e97" /><Relationship Type="http://schemas.openxmlformats.org/officeDocument/2006/relationships/hyperlink" Target="https://meteor.aihw.gov.au/content/393489" TargetMode="External" Id="Rc3200582ff1749e6" /><Relationship Type="http://schemas.openxmlformats.org/officeDocument/2006/relationships/hyperlink" Target="https://meteor.aihw.gov.au/RegistrationAuthority/12" TargetMode="External" Id="R493c5183fa254542" /><Relationship Type="http://schemas.openxmlformats.org/officeDocument/2006/relationships/hyperlink" Target="https://meteor.aihw.gov.au/content/720982" TargetMode="External" Id="R0a34c8e641e84775" /><Relationship Type="http://schemas.openxmlformats.org/officeDocument/2006/relationships/hyperlink" Target="https://meteor.aihw.gov.au/content/720982" TargetMode="External" Id="Redcce31b1a534503" /><Relationship Type="http://schemas.openxmlformats.org/officeDocument/2006/relationships/hyperlink" Target="https://meteor.aihw.gov.au/content/720982" TargetMode="External" Id="R671f0ac606a64047" /><Relationship Type="http://schemas.openxmlformats.org/officeDocument/2006/relationships/numbering" Target="/word/numbering.xml" Id="Rfca35aca54f94a75" /><Relationship Type="http://schemas.openxmlformats.org/officeDocument/2006/relationships/hyperlink" Target="https://meteor.aihw.gov.au/content/720982" TargetMode="External" Id="Rb4597bc9137847e8" /><Relationship Type="http://schemas.openxmlformats.org/officeDocument/2006/relationships/hyperlink" Target="https://meteor.aihw.gov.au/content/720982" TargetMode="External" Id="R36b80964a4464ee0" /><Relationship Type="http://schemas.openxmlformats.org/officeDocument/2006/relationships/hyperlink" Target="https://meteor.aihw.gov.au/content/720982" TargetMode="External" Id="Re706766fc72b4c46" /><Relationship Type="http://schemas.openxmlformats.org/officeDocument/2006/relationships/hyperlink" Target="https://meteor.aihw.gov.au/content/716850" TargetMode="External" Id="R2119a0b63aa74288" /><Relationship Type="http://schemas.openxmlformats.org/officeDocument/2006/relationships/hyperlink" Target="https://meteor.aihw.gov.au/RegistrationAuthority/12" TargetMode="External" Id="Rcca4efc46f5946c9" /><Relationship Type="http://schemas.openxmlformats.org/officeDocument/2006/relationships/hyperlink" Target="https://meteor.aihw.gov.au/content/740820" TargetMode="External" Id="Re6d8c8f1879d4e56" /><Relationship Type="http://schemas.openxmlformats.org/officeDocument/2006/relationships/hyperlink" Target="https://meteor.aihw.gov.au/RegistrationAuthority/12" TargetMode="External" Id="R96ed4a8052f34832" /></Relationships>
</file>

<file path=word/_rels/header1.xml.rels>&#65279;<?xml version="1.0" encoding="utf-8"?><Relationships xmlns="http://schemas.openxmlformats.org/package/2006/relationships"><Relationship Type="http://schemas.openxmlformats.org/officeDocument/2006/relationships/image" Target="/media/image.png" Id="R0561ef95e71b4252" /></Relationships>
</file>