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a6e92eee044f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1384673224847">
              <w:r>
                <w:rPr>
                  <w:rStyle w:val="Hyperlink"/>
                  <w:color w:val="244061"/>
                </w:rPr>
                <w:t xml:space="preserve">AIHW Data Quality Statements</w:t>
              </w:r>
            </w:hyperlink>
            <w:r>
              <w:rPr>
                <w:rStyle w:val="row-content"/>
                <w:color w:val="244061"/>
              </w:rPr>
              <w:t xml:space="preserve">, Superseded 23/11/2021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 On 1 July 2018 the NHHA replaced previous funding agreements auspicing this collection, the National Affordable Housing Agreement (NAHA) and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(previously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For the 2019–20 reporting period, 100% of Specialist Homelessness Services (SHS) agencies provided data for each month where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2019–20, 99%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d5bc6b081e78466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45b8b2a056024efe">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The </w:t>
            </w:r>
            <w:hyperlink w:history="true" r:id="Rd0820b5247f74118">
              <w:r>
                <w:rPr>
                  <w:rStyle w:val="Hyperlink"/>
                  <w:i/>
                </w:rPr>
                <w:t xml:space="preserve">Australian Institute of Health and Welfare Act 1987</w:t>
              </w:r>
            </w:hyperlink>
            <w:r>
              <w:rPr>
                <w:rStyle w:val="row-content-rich-text"/>
              </w:rPr>
              <w:t xml:space="preserve">, in conjunction with compliance to the </w:t>
            </w:r>
            <w:hyperlink w:history="true" r:id="Rec3b4e1372324ade">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50c5ab298d64e9f">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2019–20 data holdings, all agencies that receive funding under the NHHA—previously the NAHA or NPAH—to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2019–20 use data from July 2019 to June 2020 that were submitted and validated as at 5 August 2020. These data are first published in a dashboard report, released quarterly on the AIHW website, and then in a more comprehensive annual SHS report with accompanying data products in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73fe97a498c4001">
              <w:r>
                <w:rPr>
                  <w:rStyle w:val="Hyperlink"/>
                  <w:i/>
                </w:rPr>
                <w:t xml:space="preserve">Specialist homelessness services</w:t>
              </w:r>
            </w:hyperlink>
            <w:r>
              <w:rPr>
                <w:rStyle w:val="row-content-rich-text"/>
              </w:rPr>
              <w:t xml:space="preserve"> reports and the Productivity Commission’s annual </w:t>
            </w:r>
            <w:hyperlink w:history="true" r:id="Rb8df0000c0034e53">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5a7d06ed8df8481e">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8cadcaa1c38841a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20b1db8c54fd4837">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6cc76f26c4bd49eb">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 Of the agencies that were in scope and not exempt (i.e. expected to participate), 100% provided data for each month where they were expected to participate.</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2019–20, 98.6% of support periods had a valid SLK. For records relating to people who were unassisted, 53%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rPr>
              <w:t xml:space="preserve">Some geographical classifications change over time, for example in 2019–20 Local Government Area boundaries were updated. Changes are generally applied to all years of data in published reports and data products so trend analysis is comparable. This also means that numbers reported by the AIHW for a particular year, using a particular geographical classification, may be updated in subsequent releases.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 </w:t>
            </w:r>
          </w:p>
          <w:p>
            <w:pPr>
              <w:spacing w:after="160"/>
            </w:pPr>
            <w:r>
              <w:rPr>
                <w:rStyle w:val="row-content-rich-text"/>
              </w:rPr>
              <w:t xml:space="preserve">Variability in the interpretation and implementation of this item across agencies and jurisdictions means that coverage may be incomplete for 2019–20. Caution should be taken when using this data for 2019–20.</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2019–20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2019–20.</w:t>
            </w:r>
          </w:p>
          <w:p>
            <w:pPr>
              <w:spacing w:after="160"/>
            </w:pPr>
            <w:r>
              <w:rPr>
                <w:rStyle w:val="row-content-rich-text"/>
                <w:b/>
              </w:rPr>
              <w:t xml:space="preserve">The ad</w:t>
            </w:r>
            <w:r>
              <w:rPr>
                <w:rStyle w:val="row-content-rich-text"/>
                <w:b/>
              </w:rPr>
              <w:t xml:space="preserve">dition of ‘Other’ to the Sex item</w:t>
            </w:r>
          </w:p>
          <w:p>
            <w:pPr>
              <w:spacing w:after="160"/>
            </w:pPr>
            <w:r>
              <w:rPr>
                <w:rStyle w:val="row-content-rich-text"/>
              </w:rPr>
              <w:t xml:space="preserve">The inclusion of a Sex = Other category in both the Client and Unassisted persons components of the SHSC for episodes starting from 1 July 2019 has had a minimal impact on the collection with under 0.84% of clients identifying as Sex = Other in 2019–20. However, this change has meant that there has been a break in time series for some clients as their SLK has changed to reflect their change in recorded sex.</w:t>
            </w:r>
          </w:p>
          <w:p>
            <w:pPr>
              <w:spacing w:after="160"/>
            </w:pPr>
            <w:r>
              <w:rPr>
                <w:rStyle w:val="row-content-rich-text"/>
              </w:rPr>
              <w:t xml:space="preserve">This change has also been implemented differently across states and territories with much higher numbers of clients identifying as Sex = Other in some states and in the unassisted collection. The Sex = Other option may have also been applied by some agencies to young children where their sex was not obvious or for those who did not want to state their sex.  </w:t>
            </w:r>
          </w:p>
          <w:p>
            <w:pPr/>
            <w:r>
              <w:rPr>
                <w:rStyle w:val="row-content-rich-text"/>
              </w:rPr>
              <w:t xml:space="preserve">Due to these issues, as well as the confidentiality concerns that accompany small numbers of clients, those clients identifying as Sex = Other have been included in the ‘Female’ category when reporting the data for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 </w:t>
            </w:r>
            <w:r>
              <w:rPr>
                <w:rStyle w:val="row-content-rich-text"/>
              </w:rPr>
              <w:t xml:space="preserve">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rPr>
              <w:t xml:space="preserve">Funding for COVID related social support was also implemented differently across jurisdictions and SHSC data will only show changes where funding was provided to SHS agencies.</w:t>
            </w:r>
          </w:p>
          <w:p>
            <w:pPr>
              <w:spacing w:after="160"/>
            </w:pPr>
            <w:r>
              <w:rPr>
                <w:rStyle w:val="row-content-rich-text"/>
              </w:rPr>
              <w:t xml:space="preserve"> </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p>
          <w:p>
            <w:pPr>
              <w:spacing w:after="160"/>
            </w:pPr>
            <w:r>
              <w:rPr>
                <w:rStyle w:val="row-content-rich-text"/>
              </w:rPr>
              <w:t xml:space="preserve">In July 2019 the following changes were made to improve the collection of information regarding family and domestic violence (FDV) in the SHSC:</w:t>
            </w:r>
          </w:p>
          <w:p>
            <w:pPr>
              <w:pStyle w:val="ListParagraph"/>
              <w:numPr>
                <w:ilvl w:val="0"/>
                <w:numId w:val="3"/>
              </w:numPr>
            </w:pPr>
            <w:r>
              <w:rPr>
                <w:rStyle w:val="row-content-rich-text"/>
              </w:rPr>
              <w:t xml:space="preserve">The inclusion of an ‘FDV agency’ option in the ‘Formal sources of referral’ item to capture clients referred from non-SHS funded FDV services. </w:t>
            </w:r>
          </w:p>
          <w:p>
            <w:pPr>
              <w:pStyle w:val="ListParagraph"/>
              <w:numPr>
                <w:ilvl w:val="0"/>
                <w:numId w:val="3"/>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3"/>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These changes have not resulted in any break in time series as the addition of the new FDV referral item has only increased the number of FDV clients by 0.5%. The change to collect both victim and perpetrator services can also be combined to reflect the general FDV services item used prior to 1 July 2019.</w:t>
            </w:r>
          </w:p>
          <w:p>
            <w:pPr>
              <w:spacing w:after="160"/>
            </w:pPr>
            <w:r>
              <w:rPr>
                <w:rStyle w:val="row-content-rich-text"/>
              </w:rPr>
              <w:t xml:space="preserve">The split between victim and perpetrator services has not been widely reported in 2019–20.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4"/>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4"/>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pStyle w:val="ListParagraph"/>
              <w:numPr>
                <w:ilvl w:val="0"/>
                <w:numId w:val="4"/>
              </w:numPr>
            </w:pPr>
            <w:r>
              <w:rPr>
                <w:rStyle w:val="row-content-rich-text"/>
              </w:rPr>
              <w:t xml:space="preserve">In 2019–20, NSW provided additional funding and supports for social housing and homelessness prevention as a response to the COVID-19 pandemic and the intense bushfire season. However, much of this additional funding and support was provided outside of the scope of the SHSC. This could have caused the overall decrease in SHSC client numbers in NSW in 2019–20, as possible SHSC clients may have accessed this alternative funding and support. </w:t>
            </w:r>
          </w:p>
          <w:p>
            <w:pPr>
              <w:spacing w:after="160"/>
            </w:pPr>
            <w:r>
              <w:rPr>
                <w:rStyle w:val="row-content-rich-text"/>
                <w:i/>
              </w:rPr>
              <w:t xml:space="preserve">Victoria</w:t>
            </w:r>
          </w:p>
          <w:p>
            <w:pPr>
              <w:pStyle w:val="ListParagraph"/>
              <w:numPr>
                <w:ilvl w:val="0"/>
                <w:numId w:val="5"/>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from police to homelessness-funded family violence services.</w:t>
            </w:r>
          </w:p>
          <w:p>
            <w:pPr>
              <w:pStyle w:val="ListParagraph"/>
              <w:numPr>
                <w:ilvl w:val="0"/>
                <w:numId w:val="5"/>
              </w:numPr>
            </w:pPr>
            <w:r>
              <w:rPr>
                <w:rStyle w:val="row-content-rich-text"/>
              </w:rPr>
              <w:t xml:space="preserve">From 2017–18 to 2018–19, there was a 3% decrease in the total number of Victorian homelessness clients and a 10% decrease in family violence clients following years of steady increases in these numbers. The decrease was primarily due to a practice correction in how some family violence agencies were recording clients. In addition, during 2018–19, a phased process to shift family violence intake to non-SHS services began, which may result in an overall decrease in the number of SHS family violence clients over the coming years. Caution should be used when comparing Victorian client numbers over recent years.</w:t>
            </w:r>
          </w:p>
          <w:p>
            <w:pPr>
              <w:spacing w:after="160"/>
            </w:pPr>
            <w:r>
              <w:rPr>
                <w:rStyle w:val="row-content-rich-text"/>
                <w:i/>
              </w:rPr>
              <w:t xml:space="preserve">Queensland</w:t>
            </w:r>
          </w:p>
          <w:p>
            <w:pPr>
              <w:pStyle w:val="ListParagraph"/>
              <w:numPr>
                <w:ilvl w:val="0"/>
                <w:numId w:val="6"/>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7"/>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8"/>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8"/>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p>
            <w:pPr>
              <w:spacing w:after="160"/>
            </w:pPr>
            <w:r>
              <w:rPr>
                <w:rStyle w:val="row-content-rich-text"/>
                <w:i/>
              </w:rPr>
              <w:t xml:space="preserve">Northern Territory</w:t>
            </w:r>
          </w:p>
          <w:p>
            <w:pPr>
              <w:pStyle w:val="ListParagraph"/>
              <w:numPr>
                <w:ilvl w:val="0"/>
                <w:numId w:val="9"/>
              </w:numPr>
            </w:pPr>
            <w:r>
              <w:rPr>
                <w:rStyle w:val="row-content-rich-text"/>
              </w:rPr>
              <w:t xml:space="preserve">A new Northern Territory agency began reporting to the collection in January 2019. The high volume of clients and the nature of the services provided by the agency have impacted results across the data collection, with the full impact being evident in the 2019–20 data. Caution should be used when making comparisons between data before and after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5d4e4bc9114d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05387d14f740ba">
              <w:r>
                <w:rPr>
                  <w:rStyle w:val="Hyperlink"/>
                </w:rPr>
                <w:t xml:space="preserve">Specialist Homelessness Services Collection, 2018–19; Quality Statement</w:t>
              </w:r>
            </w:hyperlink>
          </w:p>
          <w:p>
            <w:pPr>
              <w:pStyle w:val="registration-status"/>
              <w:spacing w:before="0" w:after="0"/>
            </w:pPr>
            <w:hyperlink w:history="true" r:id="Rb5c97f3956924de0">
              <w:r>
                <w:rPr>
                  <w:rStyle w:val="Hyperlink"/>
                  <w:color w:val="244061"/>
                </w:rPr>
                <w:t xml:space="preserve">AIHW Data Quality Statements</w:t>
              </w:r>
            </w:hyperlink>
            <w:r>
              <w:rPr>
                <w:rStyle w:val="row-content"/>
                <w:color w:val="244061"/>
              </w:rPr>
              <w:t xml:space="preserve">, Superseded 12/11/2020</w:t>
            </w:r>
          </w:p>
          <w:p>
            <w:r>
              <w:br/>
            </w:r>
            <w:r>
              <w:rPr>
                <w:rStyle w:val="row-content"/>
              </w:rPr>
              <w:t xml:space="preserve">Has been superseded by </w:t>
            </w:r>
            <w:hyperlink w:history="true" r:id="Rd004e1051ec2423a">
              <w:r>
                <w:rPr>
                  <w:rStyle w:val="Hyperlink"/>
                </w:rPr>
                <w:t xml:space="preserve">Specialist Homelessness Services Collection, 2020–21; Quality Statement</w:t>
              </w:r>
            </w:hyperlink>
          </w:p>
          <w:p>
            <w:pPr>
              <w:pStyle w:val="registration-status"/>
              <w:spacing w:before="0" w:after="0"/>
            </w:pPr>
            <w:hyperlink w:history="true" r:id="Rf2b3d639e581482f">
              <w:r>
                <w:rPr>
                  <w:rStyle w:val="Hyperlink"/>
                  <w:color w:val="244061"/>
                </w:rPr>
                <w:t xml:space="preserve">AIHW Data Quality Statements</w:t>
              </w:r>
            </w:hyperlink>
            <w:r>
              <w:rPr>
                <w:rStyle w:val="row-content"/>
                <w:color w:val="244061"/>
              </w:rPr>
              <w:t xml:space="preserve">, Superseded 14/11/2022</w:t>
            </w:r>
          </w:p>
          <w:p>
            <w:r>
              <w:br/>
            </w:r>
          </w:p>
        </w:tc>
      </w:tr>
    </w:tbl>
    <w:p>
      <w:r>
        <w:br/>
      </w:r>
    </w:p>
    <w:sectPr>
      <w:footerReference xmlns:r="http://schemas.openxmlformats.org/officeDocument/2006/relationships" w:type="default" r:id="R3a8f2a5eca9c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559f8683e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f2a5eca9c4dc5" /><Relationship Type="http://schemas.openxmlformats.org/officeDocument/2006/relationships/header" Target="/word/header1.xml" Id="Rc1d63fe3c53d44cb" /><Relationship Type="http://schemas.openxmlformats.org/officeDocument/2006/relationships/settings" Target="/word/settings.xml" Id="R96623184cd2c4b0c" /><Relationship Type="http://schemas.openxmlformats.org/officeDocument/2006/relationships/styles" Target="/word/styles.xml" Id="R90d7e174bf284f08" /><Relationship Type="http://schemas.openxmlformats.org/officeDocument/2006/relationships/numbering" Target="/word/numbering.xml" Id="R05ae383a1d4c4910" /><Relationship Type="http://schemas.openxmlformats.org/officeDocument/2006/relationships/hyperlink" Target="https://meteor.aihw.gov.au/RegistrationAuthority/5" TargetMode="External" Id="R8151384673224847" /><Relationship Type="http://schemas.openxmlformats.org/officeDocument/2006/relationships/hyperlink" Target="https://www.legislation.gov.au/Series/C2004A03450" TargetMode="External" Id="Rd5bc6b081e784665" /><Relationship Type="http://schemas.openxmlformats.org/officeDocument/2006/relationships/hyperlink" Target="http://www.aihw.gov.au/aihw-board/" TargetMode="External" Id="R45b8b2a056024efe" /><Relationship Type="http://schemas.openxmlformats.org/officeDocument/2006/relationships/hyperlink" Target="https://www.legislation.gov.au/Series/C2004A03450" TargetMode="External" Id="Rd0820b5247f74118" /><Relationship Type="http://schemas.openxmlformats.org/officeDocument/2006/relationships/hyperlink" Target="https://www.legislation.gov.au/Series/C2004A03712" TargetMode="External" Id="Rec3b4e1372324ade" /><Relationship Type="http://schemas.openxmlformats.org/officeDocument/2006/relationships/hyperlink" Target="http://www.aihw.gov.au/" TargetMode="External" Id="Rf50c5ab298d64e9f" /><Relationship Type="http://schemas.openxmlformats.org/officeDocument/2006/relationships/hyperlink" Target="https://www.aihw.gov.au/reports-data/health-welfare-services/homelessness-services/overview" TargetMode="External" Id="Re73fe97a498c4001" /><Relationship Type="http://schemas.openxmlformats.org/officeDocument/2006/relationships/hyperlink" Target="http://www.pc.gov.au/research/ongoing/report-on-government-services" TargetMode="External" Id="Rb8df0000c0034e53" /><Relationship Type="http://schemas.openxmlformats.org/officeDocument/2006/relationships/hyperlink" Target="https://www.aihw.gov.au/our-services/data-on-request" TargetMode="External" Id="R5a7d06ed8df8481e" /><Relationship Type="http://schemas.openxmlformats.org/officeDocument/2006/relationships/hyperlink" Target="mailto:info@aihw.gov.au" TargetMode="External" Id="R8cadcaa1c38841a7" /><Relationship Type="http://schemas.openxmlformats.org/officeDocument/2006/relationships/hyperlink" Target="https://www.aihw.gov.au/about-our-data/our-data-collections/specialist-homelessness-services-collection" TargetMode="External" Id="R20b1db8c54fd4837" /><Relationship Type="http://schemas.openxmlformats.org/officeDocument/2006/relationships/hyperlink" Target="https://www.aihw.gov.au/about-our-data/our-data-collections/specialist-homelessness-services-collection/training-resources" TargetMode="External" Id="R6cc76f26c4bd49eb" /><Relationship Type="http://schemas.openxmlformats.org/officeDocument/2006/relationships/hyperlink" Target="https://meteor.aihw.gov.au/content/246013" TargetMode="External" Id="Rde5d4e4bc9114d67" /><Relationship Type="http://schemas.openxmlformats.org/officeDocument/2006/relationships/hyperlink" Target="https://meteor.aihw.gov.au/content/723399" TargetMode="External" Id="R6205387d14f740ba" /><Relationship Type="http://schemas.openxmlformats.org/officeDocument/2006/relationships/hyperlink" Target="https://meteor.aihw.gov.au/RegistrationAuthority/5" TargetMode="External" Id="Rb5c97f3956924de0" /><Relationship Type="http://schemas.openxmlformats.org/officeDocument/2006/relationships/hyperlink" Target="https://meteor.aihw.gov.au/content/746581" TargetMode="External" Id="Rd004e1051ec2423a" /><Relationship Type="http://schemas.openxmlformats.org/officeDocument/2006/relationships/hyperlink" Target="https://meteor.aihw.gov.au/RegistrationAuthority/5" TargetMode="External" Id="Rf2b3d639e581482f" /></Relationships>
</file>

<file path=word/_rels/header1.xml.rels>&#65279;<?xml version="1.0" encoding="utf-8"?><Relationships xmlns="http://schemas.openxmlformats.org/package/2006/relationships"><Relationship Type="http://schemas.openxmlformats.org/officeDocument/2006/relationships/image" Target="/media/image.png" Id="R966559f8683e4608" /></Relationships>
</file>