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a4b8601d5646fa"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2019–20: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fdd06b53c47ad">
              <w:r>
                <w:rPr>
                  <w:rStyle w:val="Hyperlink"/>
                  <w:color w:val="244061"/>
                </w:rPr>
                <w:t xml:space="preserve">AIHW Data Quality Statements</w:t>
              </w:r>
            </w:hyperlink>
            <w:r>
              <w:rPr>
                <w:rStyle w:val="row-content"/>
                <w:color w:val="244061"/>
              </w:rPr>
              <w:t xml:space="preserve">, Superseded 21/02/2023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includes the counts of patient days under surveillance and total patient days.</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Some SAB cases are excluded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full coverage of public hospitals as surveillance arrangements may not be in place in all wards or all hospitals.</w:t>
            </w:r>
          </w:p>
          <w:p>
            <w:pPr>
              <w:spacing w:after="160"/>
            </w:pPr>
            <w:r>
              <w:rPr>
                <w:rStyle w:val="row-content-rich-text"/>
              </w:rPr>
              <w:t xml:space="preserve">The Victorian government granted an exemption to all Victorian hospitals from reporting routine surveillance during the period 1 April to 31 December 2020 inclusive due to some hospitals having resource issues due to pandemic response requirements. This included an exemption from submitting data on SABs and hand hygiene audits.</w:t>
            </w:r>
          </w:p>
          <w:p>
            <w:pPr>
              <w:pStyle w:val="ListParagraph"/>
              <w:numPr>
                <w:ilvl w:val="0"/>
                <w:numId w:val="2"/>
              </w:numPr>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as a whole. Comparisons between the public and private sector are therefore unreliable.</w:t>
            </w:r>
          </w:p>
          <w:p>
            <w:pPr>
              <w:pStyle w:val="ListParagraph"/>
              <w:numPr>
                <w:ilvl w:val="0"/>
                <w:numId w:val="2"/>
              </w:numPr>
            </w:pPr>
            <w:r>
              <w:rPr>
                <w:rStyle w:val="row-content-rich-text"/>
              </w:rPr>
              <w:t xml:space="preserve">The data for 2011–12 to 2019–20 are comparable. The count of days of patient care reflects the amount of admitted patient activity, but does not reflect the amount of non-admitted patient activity as this cannot be captured due to variations in admission practice.</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pStyle w:val="ListParagraph"/>
              <w:numPr>
                <w:ilvl w:val="0"/>
                <w:numId w:val="2"/>
              </w:numPr>
            </w:pPr>
            <w:r>
              <w:rPr>
                <w:rStyle w:val="row-content-rich-text"/>
              </w:rPr>
              <w:t xml:space="preserve">The 2019–20 patient day and coverage data may be preliminary for some hospitals or jurisdictions.</w:t>
            </w:r>
          </w:p>
          <w:p>
            <w:pPr>
              <w:pStyle w:val="ListParagraph"/>
              <w:numPr>
                <w:ilvl w:val="0"/>
                <w:numId w:val="2"/>
              </w:numPr>
            </w:pPr>
            <w:r>
              <w:rPr>
                <w:rStyle w:val="row-content-rich-text"/>
              </w:rPr>
              <w:t xml:space="preserve">As described in the </w:t>
            </w:r>
            <w:hyperlink w:history="true" r:id="Rd473e3c7f33b44e0">
              <w:r>
                <w:rPr>
                  <w:rStyle w:val="Hyperlink"/>
                </w:rPr>
                <w:t xml:space="preserve">National </w:t>
              </w:r>
              <w:r>
                <w:rPr>
                  <w:rStyle w:val="row-content-rich-text"/>
                  <w:i/>
                </w:rPr>
                <w:t xml:space="preserve">Staphylococcus aureus </w:t>
              </w:r>
              <w:r>
                <w:rPr>
                  <w:rStyle w:val="row-content-rich-text"/>
                </w:rPr>
                <w:t xml:space="preserve">Bacteraemia Data Collection, 2015–16 Quality Statement</w:t>
              </w:r>
            </w:hyperlink>
            <w:r>
              <w:rPr>
                <w:rStyle w:val="row-content-rich-text"/>
              </w:rPr>
              <w:t xml:space="preserve">, due to the changes in the denominator of the performance indicator specification, data published in 2017 for the reporting years 2010–11 to 2015–16 are not comparable with data previously published in COAG Reform Council publications, the AIHW series '</w:t>
            </w:r>
            <w:r>
              <w:rPr>
                <w:rStyle w:val="row-content-rich-text"/>
                <w:i/>
              </w:rPr>
              <w:t xml:space="preserve">Staphylococcus aureus</w:t>
            </w:r>
            <w:r>
              <w:rPr>
                <w:rStyle w:val="row-content-rich-text"/>
                <w:i/>
              </w:rPr>
              <w:t xml:space="preserve">bacteraemia in Australian public hospitals: Australian hospital statistics</w:t>
            </w:r>
            <w:r>
              <w:rPr>
                <w:rStyle w:val="row-content-rich-text"/>
              </w:rPr>
              <w:t xml:space="preserve">' nor the </w:t>
            </w:r>
            <w:r>
              <w:rPr>
                <w:rStyle w:val="row-content-rich-text"/>
                <w:i/>
              </w:rPr>
              <w:t xml:space="preserve">Report of Government Services.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years of 2016–17, 2017–18 and 2019–20.</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2017–18, 2018–19 and 2019–20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8ee88f73c89f44c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adfa41da39664850">
              <w:r>
                <w:rPr>
                  <w:rStyle w:val="Hyperlink"/>
                  <w:i/>
                </w:rPr>
                <w:t xml:space="preserve">Australian Institute of Health and Welfare Act 1987</w:t>
              </w:r>
            </w:hyperlink>
            <w:r>
              <w:rPr>
                <w:rStyle w:val="row-content-rich-text"/>
              </w:rPr>
              <w:t xml:space="preserve">, in conjunction with compliance to the </w:t>
            </w:r>
            <w:hyperlink w:history="true" r:id="R3e6b155247b44a18">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44593d11a8434809">
              <w:r>
                <w:rPr>
                  <w:rStyle w:val="Hyperlink"/>
                </w:rPr>
                <w:t xml:space="preserve">AIHW website</w:t>
              </w:r>
            </w:hyperlink>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2019–20, with revised data provided for 2018–19.</w:t>
            </w:r>
          </w:p>
          <w:p>
            <w:pPr/>
            <w:r>
              <w:rPr>
                <w:rStyle w:val="row-content-rich-text"/>
              </w:rPr>
              <w:t xml:space="preserve">States and territory health departments provided the data to the AIHW by November 2020. The data were published in February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w:t>
            </w:r>
            <w:hyperlink w:history="true" r:id="Ra59ff4eb5be74cb2">
              <w:r>
                <w:rPr>
                  <w:rStyle w:val="Hyperlink"/>
                </w:rPr>
                <w:t xml:space="preserve">AIHW website</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w:t>
            </w:r>
            <w:hyperlink w:history="true" r:id="R1a736e2e06244b70">
              <w:r>
                <w:rPr>
                  <w:rStyle w:val="Hyperlink"/>
                </w:rPr>
                <w:t xml:space="preserve">MyHospitals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w:t>
            </w:r>
            <w:hyperlink w:history="true" r:id="R0b317fc624354115">
              <w:r>
                <w:rPr>
                  <w:rStyle w:val="Hyperlink"/>
                </w:rPr>
                <w:t xml:space="preserve">AIHW website</w:t>
              </w:r>
            </w:hyperlink>
            <w:r>
              <w:rPr>
                <w:rStyle w:val="row-content-rich-text"/>
              </w:rPr>
              <w:t xml:space="preserve">.</w:t>
            </w:r>
          </w:p>
          <w:p>
            <w:pPr/>
            <w:r>
              <w:rPr>
                <w:rStyle w:val="row-content-rich-text"/>
              </w:rPr>
              <w:t xml:space="preserve">The NHA performance indicator specification can be accessed on the METeOR </w:t>
            </w:r>
            <w:hyperlink w:history="true" r:id="R1971526dbd124de7">
              <w:r>
                <w:rPr>
                  <w:rStyle w:val="Hyperlink"/>
                </w:rPr>
                <w:t xml:space="preserve">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Each jurisdiction only reports cases associated with health care in their jurisdiction. Jurisdictions report SAB cases where health care services for that cases were provided.</w:t>
            </w:r>
          </w:p>
          <w:p>
            <w:pPr>
              <w:spacing w:after="160"/>
            </w:pPr>
            <w:r>
              <w:rPr>
                <w:rStyle w:val="row-content-rich-text"/>
              </w:rPr>
              <w:t xml:space="preserve">There may be patient episodes of SAB identified by a hospital which did not originate in that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Some SAB cases may be excluded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While non-admitted patient episodes are included in the numerator for performance indicator calculations, the count of patient days (in the denominator) reflects the amount of admitted patient activity, but not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Coverage</w:t>
            </w:r>
          </w:p>
          <w:p>
            <w:pPr>
              <w:spacing w:after="160"/>
            </w:pPr>
            <w:r>
              <w:rPr>
                <w:rStyle w:val="row-content-rich-text"/>
              </w:rPr>
              <w:t xml:space="preserve">For some states and territories there is less than full coverage of public hospitals as surveillance arrangements may not be in place in all wards or all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Between 1 April 2020 and 31 December 2020, the Victorian government granted an exemption to all Victorian hospitals from reporting routine surveillance due to some hospitals having resource issues due to pandemic response requirements. This included an exemption from submitting data on SAB and hand hygiene audits.</w:t>
            </w:r>
          </w:p>
          <w:p>
            <w:pPr>
              <w:spacing w:after="160"/>
            </w:pPr>
            <w:r>
              <w:rPr>
                <w:rStyle w:val="row-content-rich-text"/>
              </w:rPr>
              <w:t xml:space="preserve">Noting that not all public hospitals/wards have SAB surveillance arrangement in place, coverage of public hospitals within the collection is very high. In 2014–15 coverage ranged from 94% to 100%. In 2018–19 the range of coverage increased, from 96% to 100%.</w:t>
            </w:r>
          </w:p>
          <w:p>
            <w:pPr>
              <w:spacing w:after="160"/>
            </w:pPr>
            <w:r>
              <w:rPr>
                <w:rStyle w:val="row-content-rich-text"/>
              </w:rPr>
              <w:t xml:space="preserve">For private hospitals, the percentage of hospitals participating in the collection has increased from 14% in 2016–17 to 28% in 2018–19. Participation of private hospitals is calculated by using the 2016-17 ABS National Private Health Establishment Collection. As this collection ceased after 2016-17, there may be an over estimation of the percentage of private hospitals participating in the collection. Of the 28% that participated in the 2018–19 collection, coverage ranged from 98% to 100%.</w:t>
            </w:r>
          </w:p>
          <w:p>
            <w:pPr>
              <w:spacing w:after="160"/>
            </w:pPr>
            <w:r>
              <w:rPr>
                <w:rStyle w:val="row-content-rich-text"/>
              </w:rPr>
              <w:t xml:space="preserve">The patient day data for 2019–20 may be preliminary for some hospitals or jurisdictions. Due to changes in the proportion of private hospitals participating in the NSABDC (as well as changes in terms of which private hospitals participate in which collection years), aggregated results for private hospitals should not be compared over time.</w:t>
            </w:r>
          </w:p>
          <w:p>
            <w:pPr>
              <w:spacing w:after="160"/>
            </w:pPr>
            <w:r>
              <w:rPr>
                <w:rStyle w:val="row-content-rich-text"/>
              </w:rPr>
              <w:t xml:space="preserve">In both 2015–16, and 2018–19, Western Australia reported one case where both MRSA and MSSA were identified. These cases have been reported in the MRSA counts; they are not included in the MSSA counts, and are reported as one case in the total for Western Australia for these years.</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 </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2014–15 are not comparable with data previously published in:</w:t>
            </w:r>
          </w:p>
          <w:p>
            <w:pPr>
              <w:pStyle w:val="ListParagraph"/>
              <w:numPr>
                <w:ilvl w:val="0"/>
                <w:numId w:val="4"/>
              </w:numPr>
            </w:pPr>
            <w:r>
              <w:rPr>
                <w:rStyle w:val="row-content-rich-text"/>
              </w:rPr>
              <w:t xml:space="preserve">the Council of Australian Governments (COAG) Reform Council publications</w:t>
            </w:r>
          </w:p>
          <w:p>
            <w:pPr>
              <w:pStyle w:val="ListParagraph"/>
              <w:numPr>
                <w:ilvl w:val="0"/>
                <w:numId w:val="4"/>
              </w:numPr>
            </w:pPr>
            <w:r>
              <w:rPr>
                <w:rStyle w:val="row-content-rich-text"/>
              </w:rPr>
              <w:t xml:space="preserve">the AIHW series ‘</w:t>
            </w:r>
            <w:r>
              <w:rPr>
                <w:rStyle w:val="row-content-rich-text"/>
                <w:i/>
              </w:rPr>
              <w:t xml:space="preserve">Staphylococcus aureus</w:t>
            </w:r>
            <w:r>
              <w:rPr>
                <w:rStyle w:val="row-content-rich-text"/>
              </w:rPr>
              <w:t xml:space="preserve"> bacteraemia in Australian public hospitals: Australian hospital statistics’</w:t>
            </w:r>
          </w:p>
          <w:p>
            <w:pPr>
              <w:pStyle w:val="ListParagraph"/>
              <w:numPr>
                <w:ilvl w:val="0"/>
                <w:numId w:val="4"/>
              </w:numPr>
            </w:pPr>
            <w:r>
              <w:rPr>
                <w:rStyle w:val="row-content-rich-text"/>
              </w:rPr>
              <w:t xml:space="preserve">the annual </w:t>
            </w:r>
            <w:r>
              <w:rPr>
                <w:rStyle w:val="row-content-rich-text"/>
                <w:i/>
              </w:rPr>
              <w:t xml:space="preserve">Report on Government Services</w:t>
            </w:r>
            <w:r>
              <w:rPr>
                <w:rStyle w:val="row-content-rich-text"/>
              </w:rPr>
              <w:t xml:space="preserve"> produced by the Steering Committee for the Review of Government Service Provision.</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3772f2940a443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57b262b1554841">
              <w:r>
                <w:rPr>
                  <w:rStyle w:val="Hyperlink"/>
                </w:rPr>
                <w:t xml:space="preserve">National Staphylococcus aureus Bacteraemia Data Collection, 2018–19: Quality Statement</w:t>
              </w:r>
            </w:hyperlink>
          </w:p>
          <w:p>
            <w:pPr>
              <w:spacing w:before="0" w:after="0"/>
            </w:pPr>
            <w:r>
              <w:rPr>
                <w:rStyle w:val="row-content"/>
                <w:color w:val="244061"/>
              </w:rPr>
              <w:t xml:space="preserve">       </w:t>
            </w:r>
            <w:hyperlink w:history="true" r:id="R660baf3d4bdc4280">
              <w:r>
                <w:rPr>
                  <w:rStyle w:val="Hyperlink"/>
                  <w:color w:val="244061"/>
                </w:rPr>
                <w:t xml:space="preserve">AIHW Data Quality Statements</w:t>
              </w:r>
            </w:hyperlink>
            <w:r>
              <w:rPr>
                <w:rStyle w:val="row-content"/>
                <w:color w:val="244061"/>
              </w:rPr>
              <w:t xml:space="preserve">, Superseded 01/03/2021</w:t>
            </w:r>
          </w:p>
          <w:p>
            <w:r>
              <w:br/>
            </w:r>
            <w:r>
              <w:rPr>
                <w:rStyle w:val="row-content"/>
              </w:rPr>
              <w:t xml:space="preserve">Has been superseded by </w:t>
            </w:r>
            <w:hyperlink w:history="true" r:id="Redca8e2bcd2a439f">
              <w:r>
                <w:rPr>
                  <w:rStyle w:val="Hyperlink"/>
                </w:rPr>
                <w:t xml:space="preserve">National Staphylococcus aureus Bacteraemia Data Collection, 2020-21: Quality Statement</w:t>
              </w:r>
            </w:hyperlink>
          </w:p>
          <w:p>
            <w:pPr>
              <w:spacing w:before="0" w:after="0"/>
            </w:pPr>
            <w:r>
              <w:rPr>
                <w:rStyle w:val="row-content"/>
                <w:color w:val="244061"/>
              </w:rPr>
              <w:t xml:space="preserve">       </w:t>
            </w:r>
            <w:hyperlink w:history="true" r:id="Raaf6e1d2ad834e8b">
              <w:r>
                <w:rPr>
                  <w:rStyle w:val="Hyperlink"/>
                  <w:color w:val="244061"/>
                </w:rPr>
                <w:t xml:space="preserve">AIHW Data Quality Statements</w:t>
              </w:r>
            </w:hyperlink>
            <w:r>
              <w:rPr>
                <w:rStyle w:val="row-content"/>
                <w:color w:val="244061"/>
              </w:rPr>
              <w:t xml:space="preserve">, Superseded 31/08/2023</w:t>
            </w:r>
          </w:p>
          <w:p>
            <w:r>
              <w:br/>
            </w:r>
            <w:r>
              <w:rPr>
                <w:rStyle w:val="row-content"/>
              </w:rPr>
              <w:t xml:space="preserve">See also </w:t>
            </w:r>
            <w:hyperlink w:history="true" r:id="R84f26505e7634902">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24cb268491ee461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308c83fe14843d3">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ce3bd99511654c4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51708cf4dc74296">
              <w:r>
                <w:rPr>
                  <w:rStyle w:val="Hyperlink"/>
                </w:rPr>
                <w:t xml:space="preserve">National Staphylococcus aureus Bacteraemia Data Collection, 2015-16: Quality Statement</w:t>
              </w:r>
            </w:hyperlink>
          </w:p>
          <w:p>
            <w:pPr>
              <w:spacing w:before="0" w:after="0"/>
            </w:pPr>
            <w:r>
              <w:rPr>
                <w:rStyle w:val="row-content"/>
                <w:color w:val="244061"/>
              </w:rPr>
              <w:t xml:space="preserve">       </w:t>
            </w:r>
            <w:hyperlink w:history="true" r:id="Rabf2319015394061">
              <w:r>
                <w:rPr>
                  <w:rStyle w:val="Hyperlink"/>
                  <w:color w:val="244061"/>
                </w:rPr>
                <w:t xml:space="preserve">AIHW Data Quality Statements</w:t>
              </w:r>
            </w:hyperlink>
            <w:r>
              <w:rPr>
                <w:rStyle w:val="row-content"/>
                <w:color w:val="244061"/>
              </w:rPr>
              <w:t xml:space="preserve">, Superseded 15/12/2017</w:t>
            </w:r>
          </w:p>
          <w:p>
            <w:r>
              <w:br/>
            </w:r>
          </w:p>
        </w:tc>
      </w:tr>
    </w:tbl>
    <w:p>
      <w:r>
        <w:br/>
      </w:r>
    </w:p>
    <w:sectPr>
      <w:footerReference xmlns:r="http://schemas.openxmlformats.org/officeDocument/2006/relationships" w:type="default" r:id="R393b107b292f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e4e2a0a69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b107b292f4c67" /><Relationship Type="http://schemas.openxmlformats.org/officeDocument/2006/relationships/header" Target="/word/header1.xml" Id="R5556fdb598fb48d2" /><Relationship Type="http://schemas.openxmlformats.org/officeDocument/2006/relationships/settings" Target="/word/settings.xml" Id="R02f4212d26bd44cf" /><Relationship Type="http://schemas.openxmlformats.org/officeDocument/2006/relationships/styles" Target="/word/styles.xml" Id="R151ae54c9fde4d69" /><Relationship Type="http://schemas.openxmlformats.org/officeDocument/2006/relationships/hyperlink" Target="https://meteor.aihw.gov.au/RegistrationAuthority/5" TargetMode="External" Id="R04cfdd06b53c47ad" /><Relationship Type="http://schemas.openxmlformats.org/officeDocument/2006/relationships/numbering" Target="/word/numbering.xml" Id="R333ba98963344112" /><Relationship Type="http://schemas.openxmlformats.org/officeDocument/2006/relationships/hyperlink" Target="https://meteor.aihw.gov.au/content/663249" TargetMode="External" Id="Rd473e3c7f33b44e0" /><Relationship Type="http://schemas.openxmlformats.org/officeDocument/2006/relationships/hyperlink" Target="https://www.legislation.gov.au/Series/C2004A03450" TargetMode="External" Id="R8ee88f73c89f44c0" /><Relationship Type="http://schemas.openxmlformats.org/officeDocument/2006/relationships/hyperlink" Target="https://www.legislation.gov.au/Series/C2004A03450" TargetMode="External" Id="Radfa41da39664850" /><Relationship Type="http://schemas.openxmlformats.org/officeDocument/2006/relationships/hyperlink" Target="https://www.legislation.gov.au/Series/C2004A03712" TargetMode="External" Id="R3e6b155247b44a18" /><Relationship Type="http://schemas.openxmlformats.org/officeDocument/2006/relationships/hyperlink" Target="http://www.aihw.gov.au" TargetMode="External" Id="R44593d11a8434809" /><Relationship Type="http://schemas.openxmlformats.org/officeDocument/2006/relationships/hyperlink" Target="http://www.aihw.gov.au/hospitals/" TargetMode="External" Id="Ra59ff4eb5be74cb2" /><Relationship Type="http://schemas.openxmlformats.org/officeDocument/2006/relationships/hyperlink" Target="https://www.myhospitals.gov.au/" TargetMode="External" Id="R1a736e2e06244b70" /><Relationship Type="http://schemas.openxmlformats.org/officeDocument/2006/relationships/hyperlink" Target="https://meteor.aihw.gov.au/content/181162" TargetMode="External" Id="R0b317fc624354115" /><Relationship Type="http://schemas.openxmlformats.org/officeDocument/2006/relationships/hyperlink" Target="https://meteor.aihw.gov.au/content/716702" TargetMode="External" Id="R1971526dbd124de7" /><Relationship Type="http://schemas.openxmlformats.org/officeDocument/2006/relationships/hyperlink" Target="https://meteor.aihw.gov.au/content/246013" TargetMode="External" Id="R153772f2940a4430" /><Relationship Type="http://schemas.openxmlformats.org/officeDocument/2006/relationships/hyperlink" Target="https://meteor.aihw.gov.au/content/724058" TargetMode="External" Id="Rb757b262b1554841" /><Relationship Type="http://schemas.openxmlformats.org/officeDocument/2006/relationships/hyperlink" Target="https://meteor.aihw.gov.au/RegistrationAuthority/5" TargetMode="External" Id="R660baf3d4bdc4280" /><Relationship Type="http://schemas.openxmlformats.org/officeDocument/2006/relationships/hyperlink" Target="https://meteor.aihw.gov.au/content/763593" TargetMode="External" Id="Redca8e2bcd2a439f" /><Relationship Type="http://schemas.openxmlformats.org/officeDocument/2006/relationships/hyperlink" Target="https://meteor.aihw.gov.au/RegistrationAuthority/5" TargetMode="External" Id="Raaf6e1d2ad834e8b" /><Relationship Type="http://schemas.openxmlformats.org/officeDocument/2006/relationships/hyperlink" Target="https://meteor.aihw.gov.au/content/725781" TargetMode="External" Id="R84f26505e7634902" /><Relationship Type="http://schemas.openxmlformats.org/officeDocument/2006/relationships/hyperlink" Target="https://meteor.aihw.gov.au/RegistrationAuthority/12" TargetMode="External" Id="R24cb268491ee4615" /><Relationship Type="http://schemas.openxmlformats.org/officeDocument/2006/relationships/hyperlink" Target="https://meteor.aihw.gov.au/content/740834" TargetMode="External" Id="R1308c83fe14843d3" /><Relationship Type="http://schemas.openxmlformats.org/officeDocument/2006/relationships/hyperlink" Target="https://meteor.aihw.gov.au/RegistrationAuthority/12" TargetMode="External" Id="Rce3bd99511654c44" /><Relationship Type="http://schemas.openxmlformats.org/officeDocument/2006/relationships/hyperlink" Target="https://meteor.aihw.gov.au/content/663249" TargetMode="External" Id="R451708cf4dc74296" /><Relationship Type="http://schemas.openxmlformats.org/officeDocument/2006/relationships/hyperlink" Target="https://meteor.aihw.gov.au/RegistrationAuthority/5" TargetMode="External" Id="Rabf2319015394061" /></Relationships>
</file>

<file path=word/_rels/header1.xml.rels>&#65279;<?xml version="1.0" encoding="utf-8"?><Relationships xmlns="http://schemas.openxmlformats.org/package/2006/relationships"><Relationship Type="http://schemas.openxmlformats.org/officeDocument/2006/relationships/image" Target="/media/image.png" Id="R447e4e2a0a6941cd" /></Relationships>
</file>