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df2ee3f7345f5"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04b-Proportion of patients with a PIVC in situ over an area of flexion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04b-Proportion of patients with a PIVC in situ over an area of flexion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4b-Proportion of patients with a PIVC in situ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ce27da6df484b">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PIVC should be selected and inserted in a suitable site to minimise the risk of failure and other device-related complications, taking into account the patient's clinical condition and preferences for the location of the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56b8a440f54e3f">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2169d1349b7e4162">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PIVC in situ with a dwell time ≧ 24 hours.</w:t>
            </w:r>
          </w:p>
          <w:p>
            <w:pPr>
              <w:spacing w:after="160"/>
            </w:pPr>
            <w:r>
              <w:rPr>
                <w:rStyle w:val="row-content-rich-text"/>
              </w:rPr>
              <w:t xml:space="preserve">For the 'numerator', the entry point, or cannula body should not lie over an area of flexion. Area of flexion defined as cubital fossa, wrist, or ankle.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inserted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 </w:t>
            </w:r>
          </w:p>
        </w:tc>
      </w:tr>
    </w:tbl>
    <w:p>
      <w:r>
        <w:br/>
      </w:r>
    </w:p>
    <w:sectPr>
      <w:footerReference xmlns:r="http://schemas.openxmlformats.org/officeDocument/2006/relationships" w:type="default" r:id="R85773d4c09bb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9fced770e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73d4c09bb47a6" /><Relationship Type="http://schemas.openxmlformats.org/officeDocument/2006/relationships/header" Target="/word/header1.xml" Id="Ra0b829f7e9de4dd1" /><Relationship Type="http://schemas.openxmlformats.org/officeDocument/2006/relationships/settings" Target="/word/settings.xml" Id="R79eee09e830a447b" /><Relationship Type="http://schemas.openxmlformats.org/officeDocument/2006/relationships/styles" Target="/word/styles.xml" Id="R9d1fe1fe58264da5" /><Relationship Type="http://schemas.openxmlformats.org/officeDocument/2006/relationships/hyperlink" Target="https://meteor.aihw.gov.au/RegistrationAuthority/18" TargetMode="External" Id="Ra46ce27da6df484b" /><Relationship Type="http://schemas.openxmlformats.org/officeDocument/2006/relationships/hyperlink" Target="https://meteor.aihw.gov.au/content/732513" TargetMode="External" Id="R7d56b8a440f54e3f" /><Relationship Type="http://schemas.openxmlformats.org/officeDocument/2006/relationships/hyperlink" Target="https://meteor.aihw.gov.au/RegistrationAuthority/18" TargetMode="External" Id="R2169d1349b7e4162" /></Relationships>
</file>

<file path=word/_rels/header1.xml.rels>&#65279;<?xml version="1.0" encoding="utf-8"?><Relationships xmlns="http://schemas.openxmlformats.org/package/2006/relationships"><Relationship Type="http://schemas.openxmlformats.org/officeDocument/2006/relationships/image" Target="/media/image.png" Id="R5389fced770e42fa" /></Relationships>
</file>