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52b551e9ac4712" /></Relationships>
</file>

<file path=word/document.xml><?xml version="1.0" encoding="utf-8"?>
<w:document xmlns:r="http://schemas.openxmlformats.org/officeDocument/2006/relationships" xmlns:w="http://schemas.openxmlformats.org/wordprocessingml/2006/main">
  <w:body>
    <w:p>
      <w:pPr>
        <w:pStyle w:val="Title"/>
      </w:pPr>
      <w:r>
        <w:t>The Aboriginal and Torres Strait Islander Child Placement Principle Indicators 2018–19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The Aboriginal and Torres Strait Islander Child Placement Principle Indicators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5b468c0fb40b1">
              <w:r>
                <w:rPr>
                  <w:rStyle w:val="Hyperlink"/>
                  <w:color w:val="244061"/>
                </w:rPr>
                <w:t xml:space="preserve">Children and Families</w:t>
              </w:r>
            </w:hyperlink>
            <w:r>
              <w:rPr>
                <w:rStyle w:val="row-content"/>
                <w:color w:val="244061"/>
              </w:rPr>
              <w:t xml:space="preserve">, Standard 03/03/2021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Aboriginal and Torres Strait Islander Child Placement Principle (ATSICPP) indicators were developed in response to Action 1.3 of the fourth action plan of the National Framework for Protecting Australia Children (NFPAC) (DSS 2018). Under Action 1.3, state, territory and Commonwealth community services ministers endorsed the development of a nationally consistent approach to measuring and reporting on the application of the five elements of the ATSICPP.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c4c61b51ff342c9">
              <w:r>
                <w:rPr>
                  <w:rStyle w:val="Hyperlink"/>
                </w:rPr>
                <w:t xml:space="preserve">The Aboriginal and Torres Strait Islander Child Placement Principle Indicators 2019–20</w:t>
              </w:r>
            </w:hyperlink>
          </w:p>
          <w:p>
            <w:pPr>
              <w:spacing w:before="0" w:after="0"/>
            </w:pPr>
            <w:r>
              <w:rPr>
                <w:rStyle w:val="row-content"/>
                <w:color w:val="244061"/>
              </w:rPr>
              <w:t xml:space="preserve">       </w:t>
            </w:r>
            <w:hyperlink w:history="true" r:id="R663c07c11aee42aa">
              <w:r>
                <w:rPr>
                  <w:rStyle w:val="Hyperlink"/>
                  <w:color w:val="244061"/>
                </w:rPr>
                <w:t xml:space="preserve">Children and Families</w:t>
              </w:r>
            </w:hyperlink>
            <w:r>
              <w:rPr>
                <w:rStyle w:val="row-content"/>
                <w:color w:val="244061"/>
              </w:rPr>
              <w:t xml:space="preserve">, Qualified 20/10/2021</w:t>
            </w:r>
          </w:p>
          <w:p>
            <w:r>
              <w:br/>
            </w:r>
            <w:r>
              <w:rPr>
                <w:rStyle w:val="row-content"/>
              </w:rPr>
              <w:t xml:space="preserve">See also </w:t>
            </w:r>
            <w:hyperlink w:history="true" r:id="R1e32c11a43f2480f">
              <w:r>
                <w:rPr>
                  <w:rStyle w:val="Hyperlink"/>
                </w:rPr>
                <w:t xml:space="preserve">Child protection NMDS 2016-17</w:t>
              </w:r>
            </w:hyperlink>
          </w:p>
          <w:p>
            <w:pPr>
              <w:spacing w:before="0" w:after="0"/>
            </w:pPr>
            <w:r>
              <w:rPr>
                <w:rStyle w:val="row-content"/>
                <w:color w:val="244061"/>
              </w:rPr>
              <w:t xml:space="preserve">       </w:t>
            </w:r>
            <w:hyperlink w:history="true" r:id="Rb30f3ad1c7cc4aa2">
              <w:r>
                <w:rPr>
                  <w:rStyle w:val="Hyperlink"/>
                  <w:color w:val="244061"/>
                </w:rPr>
                <w:t xml:space="preserve">Children and Families</w:t>
              </w:r>
            </w:hyperlink>
            <w:r>
              <w:rPr>
                <w:rStyle w:val="row-content"/>
                <w:color w:val="244061"/>
              </w:rPr>
              <w:t xml:space="preserve">, Superseded 21/01/2021</w:t>
            </w:r>
          </w:p>
          <w:p>
            <w:r>
              <w:br/>
            </w:r>
            <w:r>
              <w:rPr>
                <w:rStyle w:val="row-content"/>
              </w:rPr>
              <w:t xml:space="preserve">See also </w:t>
            </w:r>
            <w:hyperlink w:history="true" r:id="Rdeac6848e1fd4a63">
              <w:r>
                <w:rPr>
                  <w:rStyle w:val="Hyperlink"/>
                </w:rPr>
                <w:t xml:space="preserve">Child protection NMDS 2017-18</w:t>
              </w:r>
            </w:hyperlink>
          </w:p>
          <w:p>
            <w:pPr>
              <w:spacing w:before="0" w:after="0"/>
            </w:pPr>
            <w:r>
              <w:rPr>
                <w:rStyle w:val="row-content"/>
                <w:color w:val="244061"/>
              </w:rPr>
              <w:t xml:space="preserve">       </w:t>
            </w:r>
            <w:hyperlink w:history="true" r:id="Rff3025325d104aef">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See also </w:t>
            </w:r>
            <w:hyperlink w:history="true" r:id="Ra109d9d7795c4363">
              <w:r>
                <w:rPr>
                  <w:rStyle w:val="Hyperlink"/>
                </w:rPr>
                <w:t xml:space="preserve">Child protection NMDS 2018-19</w:t>
              </w:r>
            </w:hyperlink>
          </w:p>
          <w:p>
            <w:pPr>
              <w:spacing w:before="0" w:after="0"/>
            </w:pPr>
            <w:r>
              <w:rPr>
                <w:rStyle w:val="row-content"/>
                <w:color w:val="244061"/>
              </w:rPr>
              <w:t xml:space="preserve">       </w:t>
            </w:r>
            <w:hyperlink w:history="true" r:id="R9782e36e38da478b">
              <w:r>
                <w:rPr>
                  <w:rStyle w:val="Hyperlink"/>
                  <w:color w:val="244061"/>
                </w:rPr>
                <w:t xml:space="preserve">Children and Families</w:t>
              </w:r>
            </w:hyperlink>
            <w:r>
              <w:rPr>
                <w:rStyle w:val="row-content"/>
                <w:color w:val="244061"/>
              </w:rPr>
              <w:t xml:space="preserve">, Superseded 26/05/2021</w:t>
            </w:r>
          </w:p>
          <w:p>
            <w:r>
              <w:br/>
            </w:r>
            <w:r>
              <w:rPr>
                <w:rStyle w:val="row-content"/>
              </w:rPr>
              <w:t xml:space="preserve">See also </w:t>
            </w:r>
            <w:hyperlink w:history="true" r:id="R341d3606ca134aa7">
              <w:r>
                <w:rPr>
                  <w:rStyle w:val="Hyperlink"/>
                </w:rPr>
                <w:t xml:space="preserve">Child protection NMDS 2019–20</w:t>
              </w:r>
            </w:hyperlink>
          </w:p>
          <w:p>
            <w:pPr>
              <w:spacing w:before="0" w:after="0"/>
            </w:pPr>
            <w:r>
              <w:rPr>
                <w:rStyle w:val="row-content"/>
                <w:color w:val="244061"/>
              </w:rPr>
              <w:t xml:space="preserve">       </w:t>
            </w:r>
            <w:hyperlink w:history="true" r:id="Rda459b23e8164a3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d5d3e32c630546fb">
              <w:r>
                <w:rPr>
                  <w:rStyle w:val="Hyperlink"/>
                </w:rPr>
                <w:t xml:space="preserve">Child protection NMDS 2020–21</w:t>
              </w:r>
            </w:hyperlink>
          </w:p>
          <w:p>
            <w:pPr>
              <w:spacing w:before="0" w:after="0"/>
            </w:pPr>
            <w:r>
              <w:rPr>
                <w:rStyle w:val="row-content"/>
                <w:color w:val="244061"/>
              </w:rPr>
              <w:t xml:space="preserve">       </w:t>
            </w:r>
            <w:hyperlink w:history="true" r:id="Rc6ff41e366614020">
              <w:r>
                <w:rPr>
                  <w:rStyle w:val="Hyperlink"/>
                  <w:color w:val="244061"/>
                </w:rPr>
                <w:t xml:space="preserve">Children and Families</w:t>
              </w:r>
            </w:hyperlink>
            <w:r>
              <w:rPr>
                <w:rStyle w:val="row-content"/>
                <w:color w:val="244061"/>
              </w:rPr>
              <w:t xml:space="preserve">, Superseded 11/05/2023</w:t>
            </w:r>
          </w:p>
          <w:p>
            <w:r>
              <w:br/>
            </w:r>
            <w:r>
              <w:rPr>
                <w:rStyle w:val="row-content"/>
              </w:rPr>
              <w:t xml:space="preserve">See also </w:t>
            </w:r>
            <w:hyperlink w:history="true" r:id="Rb76fc5ac97e34ca4">
              <w:r>
                <w:rPr>
                  <w:rStyle w:val="Hyperlink"/>
                </w:rPr>
                <w:t xml:space="preserve">Child protection NMDS 2021–22</w:t>
              </w:r>
            </w:hyperlink>
          </w:p>
          <w:p>
            <w:pPr>
              <w:spacing w:before="0" w:after="0"/>
            </w:pPr>
            <w:r>
              <w:rPr>
                <w:rStyle w:val="row-content"/>
                <w:color w:val="244061"/>
              </w:rPr>
              <w:t xml:space="preserve">       </w:t>
            </w:r>
            <w:hyperlink w:history="true" r:id="Rc5b2c3aac9e74473">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04ae9395df854159">
              <w:r>
                <w:rPr>
                  <w:rStyle w:val="Hyperlink"/>
                </w:rPr>
                <w:t xml:space="preserve">Child protection NMDS 2022–23</w:t>
              </w:r>
            </w:hyperlink>
          </w:p>
          <w:p>
            <w:pPr>
              <w:spacing w:before="0" w:after="0"/>
            </w:pPr>
            <w:r>
              <w:rPr>
                <w:rStyle w:val="row-content"/>
                <w:color w:val="244061"/>
              </w:rPr>
              <w:t xml:space="preserve">       </w:t>
            </w:r>
            <w:hyperlink w:history="true" r:id="Rb428520d0d6b478d">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0b488a0c12dd46f6">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b01ed6d24b6048e3">
              <w:r>
                <w:rPr>
                  <w:rStyle w:val="Hyperlink"/>
                  <w:color w:val="244061"/>
                </w:rPr>
                <w:t xml:space="preserve">Children and Families</w:t>
              </w:r>
            </w:hyperlink>
            <w:r>
              <w:rPr>
                <w:rStyle w:val="row-content"/>
                <w:color w:val="244061"/>
              </w:rPr>
              <w:t xml:space="preserve">, Standard 03/03/2021</w:t>
            </w:r>
          </w:p>
          <w:p>
            <w:r>
              <w:br/>
            </w:r>
            <w:hyperlink w:history="true" r:id="R47ea6a5600684c13">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726ab0316bd240a5">
              <w:r>
                <w:rPr>
                  <w:rStyle w:val="Hyperlink"/>
                  <w:color w:val="244061"/>
                </w:rPr>
                <w:t xml:space="preserve">Children and Families</w:t>
              </w:r>
            </w:hyperlink>
            <w:r>
              <w:rPr>
                <w:rStyle w:val="row-content"/>
                <w:color w:val="244061"/>
              </w:rPr>
              <w:t xml:space="preserve">, Standard 03/03/2021</w:t>
            </w:r>
          </w:p>
          <w:p>
            <w:r>
              <w:br/>
            </w:r>
            <w:hyperlink w:history="true" r:id="Rab5df92cdb79435f">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66a5ddbdee4c4b9a">
              <w:r>
                <w:rPr>
                  <w:rStyle w:val="Hyperlink"/>
                  <w:color w:val="244061"/>
                </w:rPr>
                <w:t xml:space="preserve">Children and Families</w:t>
              </w:r>
            </w:hyperlink>
            <w:r>
              <w:rPr>
                <w:rStyle w:val="row-content"/>
                <w:color w:val="244061"/>
              </w:rPr>
              <w:t xml:space="preserve">, Standard 03/03/2021</w:t>
            </w:r>
          </w:p>
          <w:p>
            <w:r>
              <w:br/>
            </w:r>
            <w:hyperlink w:history="true" r:id="Rbaf9601b745748d5">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54f249824ba8486e">
              <w:r>
                <w:rPr>
                  <w:rStyle w:val="Hyperlink"/>
                  <w:color w:val="244061"/>
                </w:rPr>
                <w:t xml:space="preserve">Children and Families</w:t>
              </w:r>
            </w:hyperlink>
            <w:r>
              <w:rPr>
                <w:rStyle w:val="row-content"/>
                <w:color w:val="244061"/>
              </w:rPr>
              <w:t xml:space="preserve">, Standard 03/03/2021</w:t>
            </w:r>
          </w:p>
          <w:p>
            <w:r>
              <w:br/>
            </w:r>
            <w:hyperlink w:history="true" r:id="R6eb2d89caa264b81">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eaf659c2db4b413b">
              <w:r>
                <w:rPr>
                  <w:rStyle w:val="Hyperlink"/>
                  <w:color w:val="244061"/>
                </w:rPr>
                <w:t xml:space="preserve">Children and Families</w:t>
              </w:r>
            </w:hyperlink>
            <w:r>
              <w:rPr>
                <w:rStyle w:val="row-content"/>
                <w:color w:val="244061"/>
              </w:rPr>
              <w:t xml:space="preserve">, Standard 03/03/2021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for the ATSICPP indicators are sourced from the 2016–17, 2017–18 and 2018–19 unit record snapshots of Child Protection National Minimum Data Set (CP NMDS), which includes child protection data submitted by all jurisdictions except New South Wales, and aggregate data in the Australian Institute of Health and Welfare’s Child Protection Data Collection where unit record data was not available. Aggregate data were used for all indicators for New South Wales (where available) and for Indicators 1.1 and 2.1 for the Northern Territory.</w:t>
            </w:r>
          </w:p>
          <w:p>
            <w:pPr>
              <w:spacing w:after="160"/>
            </w:pPr>
            <w:r>
              <w:rPr>
                <w:rStyle w:val="row-content-rich-text"/>
              </w:rPr>
              <w:t xml:space="preserve">All CP NMDS unit record data and aggregate data used for the ATSICPP indicators are extracted as at 31 August for the previous two financial years from state and territory child protection department administrative systems. Data are extracted according to definitions and technical specifications agreed by departments and the Australian Institute of Health and Welfare.</w:t>
            </w:r>
          </w:p>
          <w:p>
            <w:pPr>
              <w:spacing w:after="160"/>
            </w:pPr>
            <w:r>
              <w:rPr>
                <w:rStyle w:val="row-content-rich-text"/>
              </w:rPr>
              <w:t xml:space="preserve">Detailed Data Quality Statements for each snapshot of the CP NMDS can be found online:</w:t>
            </w:r>
          </w:p>
          <w:p>
            <w:pPr>
              <w:spacing w:after="160"/>
            </w:pPr>
            <w:r>
              <w:rPr>
                <w:rStyle w:val="row-content-rich-text"/>
              </w:rPr>
              <w:t xml:space="preserve"> </w:t>
            </w:r>
          </w:p>
          <w:p>
            <w:pPr>
              <w:pStyle w:val="ListParagraph"/>
              <w:numPr>
                <w:ilvl w:val="0"/>
                <w:numId w:val="2"/>
              </w:numPr>
            </w:pPr>
            <w:hyperlink w:history="true" r:id="Rf00bb35b61944873">
              <w:r>
                <w:rPr>
                  <w:rStyle w:val="Hyperlink"/>
                </w:rPr>
                <w:t xml:space="preserve">2016–17</w:t>
              </w:r>
            </w:hyperlink>
          </w:p>
          <w:p>
            <w:pPr>
              <w:pStyle w:val="ListParagraph"/>
              <w:numPr>
                <w:ilvl w:val="0"/>
                <w:numId w:val="2"/>
              </w:numPr>
            </w:pPr>
            <w:hyperlink w:history="true" r:id="R512430353a4e4c69">
              <w:r>
                <w:rPr>
                  <w:rStyle w:val="Hyperlink"/>
                </w:rPr>
                <w:t xml:space="preserve">2017–18</w:t>
              </w:r>
            </w:hyperlink>
          </w:p>
          <w:p>
            <w:pPr>
              <w:pStyle w:val="ListParagraph"/>
              <w:numPr>
                <w:ilvl w:val="0"/>
                <w:numId w:val="2"/>
              </w:numPr>
            </w:pPr>
            <w:hyperlink w:history="true" r:id="R6d14f95343e54283">
              <w:r>
                <w:rPr>
                  <w:rStyle w:val="Hyperlink"/>
                </w:rPr>
                <w:t xml:space="preserve">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16/10/2020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ATSICPP indicators are reported based on nationally agreed specifications and may not match state and territory figures published elsewhere. The key data quality issues relating to the ATSICPP indicators are noted below:</w:t>
            </w:r>
          </w:p>
          <w:p>
            <w:pPr>
              <w:pStyle w:val="ListParagraph"/>
              <w:numPr>
                <w:ilvl w:val="0"/>
                <w:numId w:val="3"/>
              </w:numPr>
            </w:pPr>
            <w:r>
              <w:rPr>
                <w:rStyle w:val="row-content-rich-text"/>
              </w:rPr>
              <w:t xml:space="preserve">Data reported in the ATSICPP indicators may not match historic out-of-home care data published previously or elsewhere because the indicators are reported for all years based on the new, nationally consistent definition for out-of-home care that was implemented for reporting in 2018–19. See </w:t>
            </w:r>
            <w:r>
              <w:rPr>
                <w:rStyle w:val="row-content-rich-text"/>
                <w:i/>
              </w:rPr>
              <w:t xml:space="preserve">Child protection Australia 2018–19</w:t>
            </w:r>
            <w:r>
              <w:rPr>
                <w:rStyle w:val="row-content-rich-text"/>
              </w:rPr>
              <w:t xml:space="preserve"> (AIHW 2020a) for more information.</w:t>
            </w:r>
          </w:p>
          <w:p>
            <w:pPr>
              <w:pStyle w:val="ListParagraph"/>
              <w:numPr>
                <w:ilvl w:val="0"/>
                <w:numId w:val="3"/>
              </w:numPr>
            </w:pPr>
            <w:r>
              <w:rPr>
                <w:rStyle w:val="row-content-rich-text"/>
              </w:rPr>
              <w:t xml:space="preserve">Additional details on caveats relating to data in the CP NMDS can be found in the supplementary data tables and footnotes from</w:t>
            </w:r>
            <w:hyperlink w:history="true" r:id="R89737d42743d4824">
              <w:r>
                <w:rPr>
                  <w:rStyle w:val="Hyperlink"/>
                  <w:i/>
                </w:rPr>
                <w:t xml:space="preserve">Child protection Australia reports</w:t>
              </w:r>
            </w:hyperlink>
            <w:r>
              <w:rPr>
                <w:rStyle w:val="row-content-rich-text"/>
              </w:rPr>
              <w:t xml:space="preserve">.</w:t>
            </w:r>
          </w:p>
          <w:p>
            <w:pPr>
              <w:spacing w:after="160"/>
            </w:pPr>
            <w:r>
              <w:rPr>
                <w:rStyle w:val="row-content-rich-text"/>
              </w:rPr>
              <w:t xml:space="preserve">Data were not available from all jurisdictions to support reporting of all of the ATSICPP indicators for all years. An overview of data availability issues is provided in Table A1.</w:t>
            </w:r>
          </w:p>
          <w:p>
            <w:pPr>
              <w:spacing w:after="160"/>
            </w:pPr>
            <w:r>
              <w:rPr>
                <w:rStyle w:val="row-content-rich-text"/>
                <w:b/>
              </w:rPr>
              <w:t xml:space="preserve">Table A1: Jurisdictions for which data were not available for ATSICPP indicator reporting</w:t>
            </w:r>
          </w:p>
          <w:tbl>
            <w:tblPr>
              <w:tblStyle w:val="TableGrid"/>
              <w:tblW w:w="5000" w:type="pct"/>
              <w:tblLayout w:type="autofit"/>
            </w:tblPr>
            <w:tblGrid>
              <w:gridCol/>
              <w:gridCol/>
              <w:gridCol/>
            </w:tblGrid>
            <w:tr>
              <w:trPr/>
              <w:tc>
                <w:tcPr>
                  <w:tcW w:w="200" w:type="pct"/>
                  <w:gridSpan w:val="2"/>
                  <w:vAlign w:val="top"/>
                </w:tcPr>
                <w:p>
                  <w:pPr/>
                  <w:r>
                    <w:rPr>
                      <w:rStyle w:val="row-content-rich-text"/>
                    </w:rPr>
                    <w:t xml:space="preserve">Indicator</w:t>
                  </w:r>
                </w:p>
              </w:tc>
              <w:tc>
                <w:tcPr>
                  <w:tcW w:w="2450" w:type="pct"/>
                  <w:vAlign w:val="top"/>
                </w:tcPr>
                <w:p>
                  <w:r>
                    <w:t xml:space="preserve">Jurisdiction and years data is not available</w:t>
                  </w:r>
                </w:p>
              </w:tc>
            </w:tr>
            <w:tr>
              <w:trPr/>
              <w:tc>
                <w:tcPr>
                  <w:tcW w:w="200" w:type="pct"/>
                  <w:vAlign w:val="top"/>
                </w:tcPr>
                <w:p>
                  <w:r>
                    <w:t xml:space="preserve">2.2</w:t>
                  </w:r>
                </w:p>
              </w:tc>
              <w:tc>
                <w:tcPr>
                  <w:tcW w:w="2450" w:type="pct"/>
                  <w:vAlign w:val="top"/>
                </w:tcPr>
                <w:p>
                  <w:r>
                    <w:t xml:space="preserve">The proportion of Aboriginal and Torres Strait Islander children aged 0–17 in out-of-home care at 30 June who have current documented and approved cultural support plans</w:t>
                  </w:r>
                </w:p>
              </w:tc>
              <w:tc>
                <w:tcPr>
                  <w:tcW w:w="2250" w:type="pct"/>
                  <w:vAlign w:val="top"/>
                </w:tcPr>
                <w:p>
                  <w:r>
                    <w:t xml:space="preserve">New South Wales 2017 to 2019</w:t>
                  </w:r>
                </w:p>
                <w:p>
                  <w:r>
                    <w:t xml:space="preserve">South Australia 2017 to 2019</w:t>
                  </w:r>
                </w:p>
                <w:p>
                  <w:r>
                    <w:t xml:space="preserve">Tasmania 2017 to 2019</w:t>
                  </w:r>
                </w:p>
                <w:p>
                  <w:r>
                    <w:t xml:space="preserve">Australian Capital Territory 2017</w:t>
                  </w:r>
                </w:p>
              </w:tc>
            </w:tr>
            <w:tr>
              <w:trPr/>
              <w:tc>
                <w:tcPr>
                  <w:tcW w:w="200" w:type="pct"/>
                  <w:vAlign w:val="top"/>
                </w:tcPr>
                <w:p>
                  <w:r>
                    <w:t xml:space="preserve">2.3</w:t>
                  </w:r>
                </w:p>
              </w:tc>
              <w:tc>
                <w:tcPr>
                  <w:tcW w:w="2450" w:type="pct"/>
                  <w:vAlign w:val="top"/>
                </w:tcPr>
                <w:p>
                  <w:r>
                    <w:t xml:space="preserve">The proportion of Aboriginal and Torres Strait Islander children aged 0–17 in out-of-home care who were reunified during the year</w:t>
                  </w:r>
                </w:p>
              </w:tc>
              <w:tc>
                <w:tcPr>
                  <w:tcW w:w="2250" w:type="pct"/>
                  <w:vAlign w:val="top"/>
                </w:tcPr>
                <w:p>
                  <w:r>
                    <w:t xml:space="preserve">New South Wales 2016–17 to 2018–19</w:t>
                  </w:r>
                </w:p>
                <w:p>
                  <w:r>
                    <w:t xml:space="preserve">Queensland 2016–17 to 2018–19</w:t>
                  </w:r>
                </w:p>
              </w:tc>
            </w:tr>
            <w:tr>
              <w:trPr/>
              <w:tc>
                <w:tcPr>
                  <w:tcW w:w="200" w:type="pct"/>
                  <w:vAlign w:val="top"/>
                </w:tcPr>
                <w:p>
                  <w:r>
                    <w:t xml:space="preserve">2.4</w:t>
                  </w:r>
                </w:p>
              </w:tc>
              <w:tc>
                <w:tcPr>
                  <w:tcW w:w="2450" w:type="pct"/>
                  <w:vAlign w:val="top"/>
                </w:tcPr>
                <w:p>
                  <w:r>
                    <w:t xml:space="preserve">The proportion of Aboriginal and Torres Strait Islander children aged 0–16 who were reunified during the year and did not return to out-of-home care within 12 months</w:t>
                  </w:r>
                </w:p>
              </w:tc>
              <w:tc>
                <w:tcPr>
                  <w:tcW w:w="2250" w:type="pct"/>
                  <w:vAlign w:val="top"/>
                </w:tcPr>
                <w:p>
                  <w:r>
                    <w:t xml:space="preserve">New South Wales 2016–17 to 2018–19</w:t>
                  </w:r>
                </w:p>
                <w:p>
                  <w:r>
                    <w:t xml:space="preserve">Queensland 2016–17 to 2018–19</w:t>
                  </w:r>
                </w:p>
              </w:tc>
            </w:tr>
          </w:tbl>
          <w:p>
            <w:r>
              <w:br/>
            </w:r>
            <w:r>
              <w:t xml:space="preserve">Although some data items were unavailable for New South Wales at the time of publication, they have already commenced collecting some of the necessary data to evaluate the application of ATSICPP. In addition, New South Wales is continuing to enhance their data systems to capture other necessary data, to enable reporting on the ATSICPP indicators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National Framework for Protecting Australia’s Children 2009‒2020: technical paper on operational definitions and data issues for key national indicators. Cat. no. CWS 44. Canberra: AIHW.</w:t>
            </w:r>
          </w:p>
          <w:p>
            <w:pPr>
              <w:spacing w:after="160"/>
            </w:pPr>
            <w:r>
              <w:rPr>
                <w:rStyle w:val="row-content-rich-text"/>
              </w:rPr>
              <w:t xml:space="preserve">AIHW 2020a. Child protection Australia 2018–19. Child welfare series no. 72. Cat. no. CWS 74. Canberra: AIHW.</w:t>
            </w:r>
          </w:p>
          <w:p>
            <w:pPr>
              <w:spacing w:after="160"/>
            </w:pPr>
            <w:r>
              <w:rPr>
                <w:rStyle w:val="row-content-rich-text"/>
              </w:rPr>
              <w:t xml:space="preserve">AIHW 2020b. National framework for protecting Australia's children indicators. Cat. no. CWS 62. Canberra: AIHW. Viewed 13 July 2020, </w:t>
            </w:r>
            <w:hyperlink w:history="true" r:id="R15851a4877244591">
              <w:r>
                <w:rPr>
                  <w:rStyle w:val="Hyperlink"/>
                </w:rPr>
                <w:t xml:space="preserve">https://www.aihw.gov.au/reports/</w:t>
              </w:r>
              <w:r>
                <w:br/>
              </w:r>
              <w:r>
                <w:rPr>
                  <w:rStyle w:val="row-content-rich-text"/>
                </w:rPr>
                <w:t xml:space="preserve">child-protection/nfpac</w:t>
              </w:r>
            </w:hyperlink>
          </w:p>
          <w:p>
            <w:pPr/>
            <w:r>
              <w:rPr>
                <w:rStyle w:val="row-content-rich-text"/>
              </w:rPr>
              <w:t xml:space="preserve">COAG (Council of Australian Governments) 2009. National framework for protecting Australia’s children: implementing the first three-year action plan. Canberra: Commonwealth of Australia. Viewed 16 June 2020, </w:t>
            </w:r>
            <w:hyperlink w:history="true" r:id="Rbb59a48b293f461a">
              <w:r>
                <w:rPr>
                  <w:rStyle w:val="Hyperlink"/>
                </w:rPr>
                <w:t xml:space="preserve">https://www.dss.gov.au/sites/default/files/documents/nation_</w:t>
              </w:r>
              <w:r>
                <w:br/>
              </w:r>
              <w:r>
                <w:rPr>
                  <w:rStyle w:val="row-content-rich-text"/>
                </w:rPr>
                <w:t xml:space="preserve">framework_protecting_children.pdf</w:t>
              </w:r>
            </w:hyperlink>
          </w:p>
        </w:tc>
      </w:tr>
    </w:tbl>
    <w:p>
      <w:r>
        <w:br/>
      </w:r>
    </w:p>
    <w:sectPr>
      <w:footerReference xmlns:r="http://schemas.openxmlformats.org/officeDocument/2006/relationships" w:type="default" r:id="R41e4bcef160249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732687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2667d1bf3a4d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e4bcef160249d3" /><Relationship Type="http://schemas.openxmlformats.org/officeDocument/2006/relationships/header" Target="/word/header1.xml" Id="R7e23dcba4df44183" /><Relationship Type="http://schemas.openxmlformats.org/officeDocument/2006/relationships/settings" Target="/word/settings.xml" Id="R5de49fc968db4f8c" /><Relationship Type="http://schemas.openxmlformats.org/officeDocument/2006/relationships/styles" Target="/word/styles.xml" Id="Re5ec6d6cc634463a" /><Relationship Type="http://schemas.openxmlformats.org/officeDocument/2006/relationships/hyperlink" Target="https://meteor.aihw.gov.au/RegistrationAuthority/17" TargetMode="External" Id="Reca5b468c0fb40b1" /><Relationship Type="http://schemas.openxmlformats.org/officeDocument/2006/relationships/hyperlink" Target="https://meteor.aihw.gov.au/content/749968" TargetMode="External" Id="R1c4c61b51ff342c9" /><Relationship Type="http://schemas.openxmlformats.org/officeDocument/2006/relationships/hyperlink" Target="https://meteor.aihw.gov.au/RegistrationAuthority/17" TargetMode="External" Id="R663c07c11aee42aa" /><Relationship Type="http://schemas.openxmlformats.org/officeDocument/2006/relationships/hyperlink" Target="https://meteor.aihw.gov.au/content/688290" TargetMode="External" Id="R1e32c11a43f2480f" /><Relationship Type="http://schemas.openxmlformats.org/officeDocument/2006/relationships/hyperlink" Target="https://meteor.aihw.gov.au/RegistrationAuthority/17" TargetMode="External" Id="Rb30f3ad1c7cc4aa2" /><Relationship Type="http://schemas.openxmlformats.org/officeDocument/2006/relationships/hyperlink" Target="https://meteor.aihw.gov.au/content/706929" TargetMode="External" Id="Rdeac6848e1fd4a63" /><Relationship Type="http://schemas.openxmlformats.org/officeDocument/2006/relationships/hyperlink" Target="https://meteor.aihw.gov.au/RegistrationAuthority/17" TargetMode="External" Id="Rff3025325d104aef" /><Relationship Type="http://schemas.openxmlformats.org/officeDocument/2006/relationships/hyperlink" Target="https://meteor.aihw.gov.au/content/726951" TargetMode="External" Id="Ra109d9d7795c4363" /><Relationship Type="http://schemas.openxmlformats.org/officeDocument/2006/relationships/hyperlink" Target="https://meteor.aihw.gov.au/RegistrationAuthority/17" TargetMode="External" Id="R9782e36e38da478b" /><Relationship Type="http://schemas.openxmlformats.org/officeDocument/2006/relationships/hyperlink" Target="https://meteor.aihw.gov.au/content/740158" TargetMode="External" Id="R341d3606ca134aa7" /><Relationship Type="http://schemas.openxmlformats.org/officeDocument/2006/relationships/hyperlink" Target="https://meteor.aihw.gov.au/RegistrationAuthority/17" TargetMode="External" Id="Rda459b23e8164a3c" /><Relationship Type="http://schemas.openxmlformats.org/officeDocument/2006/relationships/hyperlink" Target="https://meteor.aihw.gov.au/content/748197" TargetMode="External" Id="Rd5d3e32c630546fb" /><Relationship Type="http://schemas.openxmlformats.org/officeDocument/2006/relationships/hyperlink" Target="https://meteor.aihw.gov.au/RegistrationAuthority/17" TargetMode="External" Id="Rc6ff41e366614020" /><Relationship Type="http://schemas.openxmlformats.org/officeDocument/2006/relationships/hyperlink" Target="https://meteor.aihw.gov.au/content/773440" TargetMode="External" Id="Rb76fc5ac97e34ca4" /><Relationship Type="http://schemas.openxmlformats.org/officeDocument/2006/relationships/hyperlink" Target="https://meteor.aihw.gov.au/RegistrationAuthority/17" TargetMode="External" Id="Rc5b2c3aac9e74473" /><Relationship Type="http://schemas.openxmlformats.org/officeDocument/2006/relationships/hyperlink" Target="https://meteor.aihw.gov.au/content/789359" TargetMode="External" Id="R04ae9395df854159" /><Relationship Type="http://schemas.openxmlformats.org/officeDocument/2006/relationships/hyperlink" Target="https://meteor.aihw.gov.au/RegistrationAuthority/17" TargetMode="External" Id="Rb428520d0d6b478d" /><Relationship Type="http://schemas.openxmlformats.org/officeDocument/2006/relationships/hyperlink" Target="https://meteor.aihw.gov.au/content/732691" TargetMode="External" Id="R0b488a0c12dd46f6" /><Relationship Type="http://schemas.openxmlformats.org/officeDocument/2006/relationships/hyperlink" Target="https://meteor.aihw.gov.au/RegistrationAuthority/17" TargetMode="External" Id="Rb01ed6d24b6048e3" /><Relationship Type="http://schemas.openxmlformats.org/officeDocument/2006/relationships/hyperlink" Target="https://meteor.aihw.gov.au/content/732697" TargetMode="External" Id="R47ea6a5600684c13" /><Relationship Type="http://schemas.openxmlformats.org/officeDocument/2006/relationships/hyperlink" Target="https://meteor.aihw.gov.au/RegistrationAuthority/17" TargetMode="External" Id="R726ab0316bd240a5" /><Relationship Type="http://schemas.openxmlformats.org/officeDocument/2006/relationships/hyperlink" Target="https://meteor.aihw.gov.au/content/732707" TargetMode="External" Id="Rab5df92cdb79435f" /><Relationship Type="http://schemas.openxmlformats.org/officeDocument/2006/relationships/hyperlink" Target="https://meteor.aihw.gov.au/RegistrationAuthority/17" TargetMode="External" Id="R66a5ddbdee4c4b9a" /><Relationship Type="http://schemas.openxmlformats.org/officeDocument/2006/relationships/hyperlink" Target="https://meteor.aihw.gov.au/content/732713" TargetMode="External" Id="Rbaf9601b745748d5" /><Relationship Type="http://schemas.openxmlformats.org/officeDocument/2006/relationships/hyperlink" Target="https://meteor.aihw.gov.au/RegistrationAuthority/17" TargetMode="External" Id="R54f249824ba8486e" /><Relationship Type="http://schemas.openxmlformats.org/officeDocument/2006/relationships/hyperlink" Target="https://meteor.aihw.gov.au/content/732715" TargetMode="External" Id="R6eb2d89caa264b81" /><Relationship Type="http://schemas.openxmlformats.org/officeDocument/2006/relationships/hyperlink" Target="https://meteor.aihw.gov.au/RegistrationAuthority/17" TargetMode="External" Id="Reaf659c2db4b413b" /><Relationship Type="http://schemas.openxmlformats.org/officeDocument/2006/relationships/numbering" Target="/word/numbering.xml" Id="Rcb3e1444c33d425b" /><Relationship Type="http://schemas.openxmlformats.org/officeDocument/2006/relationships/hyperlink" Target="https://meteor.aihw.gov.au/content/691095" TargetMode="External" Id="Rf00bb35b61944873" /><Relationship Type="http://schemas.openxmlformats.org/officeDocument/2006/relationships/hyperlink" Target="https://meteor.aihw.gov.au/content/711622" TargetMode="External" Id="R512430353a4e4c69" /><Relationship Type="http://schemas.openxmlformats.org/officeDocument/2006/relationships/hyperlink" Target="https://meteor.aihw.gov.au/content/727110" TargetMode="External" Id="R6d14f95343e54283" /><Relationship Type="http://schemas.openxmlformats.org/officeDocument/2006/relationships/hyperlink" Target="https://www.aihw.gov.au/reports-data/health-welfare-services/child-protection/overview" TargetMode="External" Id="R89737d42743d4824" /><Relationship Type="http://schemas.openxmlformats.org/officeDocument/2006/relationships/hyperlink" Target="https://www.aihw.gov.au/reports/child-protection/nfpac" TargetMode="External" Id="R15851a4877244591" /><Relationship Type="http://schemas.openxmlformats.org/officeDocument/2006/relationships/hyperlink" Target="https://www.dss.gov.au/sites/default/files/documents/nation_framework_protecting_children.pdf" TargetMode="External" Id="Rbb59a48b293f461a" /></Relationships>
</file>

<file path=word/_rels/header1.xml.rels>&#65279;<?xml version="1.0" encoding="utf-8"?><Relationships xmlns="http://schemas.openxmlformats.org/package/2006/relationships"><Relationship Type="http://schemas.openxmlformats.org/officeDocument/2006/relationships/image" Target="/media/image.png" Id="R582667d1bf3a4d85" /></Relationships>
</file>