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13b5c1d3541bc"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02-Proportion of patients with a PIVC in situ that can identify the reason for the device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02-Proportion of patients with a PIVC in situ that can identify the reason for the device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with a PIVC in situ that can identify the reason for the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08a3a2b0f4969">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that can identify the reason for the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requiring intravenous access should receive information and education about their need for the device and the procedure. This is so patients can consider the risks and benefits, and make an informed decision about whether it is right for them. Engaging patients in the management of their device can help reduce the risk of device‑related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146f9d927445fc">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7ff9f57478ce4121">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who can identify the reason why their PIVC was inserted, for example, 'the nurse explained to me that I need antibiotics' or 'fluids as part of my treatment'.</w:t>
            </w:r>
          </w:p>
          <w:p>
            <w:pPr>
              <w:spacing w:after="160"/>
            </w:pPr>
            <w:r>
              <w:rPr>
                <w:rStyle w:val="row-content-rich-text"/>
              </w:rPr>
              <w:t xml:space="preserve">Where appropriate (e.g. child, language barrier), a substitute decision maker (carer) can be consulted.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can identify the reason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w:t>
            </w:r>
          </w:p>
        </w:tc>
      </w:tr>
    </w:tbl>
    <w:p>
      <w:r>
        <w:br/>
      </w:r>
    </w:p>
    <w:sectPr>
      <w:footerReference xmlns:r="http://schemas.openxmlformats.org/officeDocument/2006/relationships" w:type="default" r:id="R7195e600e960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7e2ef0cc8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5e600e96042a9" /><Relationship Type="http://schemas.openxmlformats.org/officeDocument/2006/relationships/header" Target="/word/header1.xml" Id="Ra9e5b5b614c4406c" /><Relationship Type="http://schemas.openxmlformats.org/officeDocument/2006/relationships/settings" Target="/word/settings.xml" Id="Rdde09e2be3984296" /><Relationship Type="http://schemas.openxmlformats.org/officeDocument/2006/relationships/styles" Target="/word/styles.xml" Id="Rba86fc4c133d4290" /><Relationship Type="http://schemas.openxmlformats.org/officeDocument/2006/relationships/hyperlink" Target="https://meteor.aihw.gov.au/RegistrationAuthority/18" TargetMode="External" Id="Re6808a3a2b0f4969" /><Relationship Type="http://schemas.openxmlformats.org/officeDocument/2006/relationships/hyperlink" Target="https://meteor.aihw.gov.au/content/732513" TargetMode="External" Id="R05146f9d927445fc" /><Relationship Type="http://schemas.openxmlformats.org/officeDocument/2006/relationships/hyperlink" Target="https://meteor.aihw.gov.au/RegistrationAuthority/18" TargetMode="External" Id="R7ff9f57478ce4121" /></Relationships>
</file>

<file path=word/_rels/header1.xml.rels>&#65279;<?xml version="1.0" encoding="utf-8"?><Relationships xmlns="http://schemas.openxmlformats.org/package/2006/relationships"><Relationship Type="http://schemas.openxmlformats.org/officeDocument/2006/relationships/image" Target="/media/image.png" Id="Ra867e2ef0cc841ca" /></Relationships>
</file>