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1cf6064c4e4c05"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a5ac4aa8e4362">
              <w:r>
                <w:rPr>
                  <w:rStyle w:val="Hyperlink"/>
                  <w:color w:val="244061"/>
                </w:rPr>
                <w:t xml:space="preserve">AIHW Data Quality Statements</w:t>
              </w:r>
            </w:hyperlink>
            <w:r>
              <w:rPr>
                <w:rStyle w:val="row-content"/>
                <w:color w:val="244061"/>
              </w:rPr>
              <w:t xml:space="preserve">, Superseded 16/06/2022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and Tasmania).</w:t>
            </w:r>
          </w:p>
          <w:p>
            <w:pPr>
              <w:spacing w:after="160"/>
            </w:pPr>
            <w:r>
              <w:rPr>
                <w:rStyle w:val="row-content-rich-text"/>
              </w:rPr>
              <w:t xml:space="preserve">Data are provided for PRA received during the 2019–20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a04e05c4537644a5">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statutory authority, which is governed by a </w:t>
            </w:r>
            <w:hyperlink w:history="true" r:id="Rbe269d1b06134914">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analyse these data sets and disseminate information and statistics.</w:t>
            </w:r>
          </w:p>
          <w:p>
            <w:pPr>
              <w:spacing w:after="160"/>
            </w:pPr>
            <w:r>
              <w:rPr>
                <w:rStyle w:val="row-content-rich-text"/>
              </w:rPr>
              <w:t xml:space="preserve">Compliance with the provisions of both the AIHW Act and the </w:t>
            </w:r>
            <w:hyperlink w:history="true" r:id="R6bbf09e10bf74a64">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683412895e54db6">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f21052855bc349b3">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055ae1fc011244c8">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Metadata and definitions relating to this data source can be found in the </w:t>
                  </w:r>
                  <w:hyperlink w:history="true" r:id="R168635e75c8a4834">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2019–20 collection had an unknown Indigenous status.</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rPr>
                    <w:t xml:space="preserve"> </w:t>
                  </w:r>
                  <w:r>
                    <w:rPr>
                      <w:rStyle w:val="row-content-rich-text"/>
                      <w:i/>
                    </w:rPr>
                    <w:t xml:space="preserve">State- and territory-specific issues:</w:t>
                  </w:r>
                </w:p>
                <w:p>
                  <w:pPr>
                    <w:spacing w:after="160"/>
                  </w:pPr>
                  <w:r>
                    <w:rPr>
                      <w:rStyle w:val="row-content-rich-text"/>
                      <w:b/>
                    </w:rPr>
                    <w:t xml:space="preserve">Queensland</w:t>
                  </w:r>
                </w:p>
                <w:p>
                  <w:pPr>
                    <w:pStyle w:val="ListParagraph"/>
                    <w:numPr>
                      <w:ilvl w:val="0"/>
                      <w:numId w:val="6"/>
                    </w:numPr>
                  </w:pPr>
                  <w:r>
                    <w:rPr>
                      <w:rStyle w:val="row-content-rich-text"/>
                    </w:rPr>
                    <w:t xml:space="preserve">Due to increased emergency responses provided in 2019–20, there was an increase in number of households where income source was not stated/inadequately described.</w:t>
                  </w:r>
                </w:p>
                <w:p>
                  <w:pPr>
                    <w:spacing w:after="160"/>
                  </w:pPr>
                  <w:r>
                    <w:rPr>
                      <w:rStyle w:val="row-content-rich-text"/>
                    </w:rPr>
                    <w:t xml:space="preserve"> </w:t>
                  </w:r>
                </w:p>
                <w:p>
                  <w:pPr>
                    <w:pStyle w:val="ListParagraph"/>
                    <w:numPr>
                      <w:ilvl w:val="0"/>
                      <w:numId w:val="7"/>
                    </w:numPr>
                  </w:pPr>
                  <w:r>
                    <w:rPr>
                      <w:rStyle w:val="row-content-rich-text"/>
                    </w:rPr>
                    <w:t xml:space="preserve">Weekly rent charged is not available in Western Australia’s reporting system.</w:t>
                  </w:r>
                </w:p>
                <w:p>
                  <w:pPr>
                    <w:pStyle w:val="ListParagraph"/>
                    <w:numPr>
                      <w:ilvl w:val="0"/>
                      <w:numId w:val="7"/>
                    </w:numPr>
                  </w:pPr>
                  <w:r>
                    <w:rPr>
                      <w:rStyle w:val="row-content-rich-text"/>
                    </w:rPr>
                    <w:t xml:space="preserve"> </w:t>
                  </w:r>
                </w:p>
                <w:p>
                  <w:pPr>
                    <w:spacing w:after="160"/>
                  </w:pPr>
                  <w:r>
                    <w:rPr>
                      <w:rStyle w:val="row-content-rich-text"/>
                      <w:b/>
                    </w:rPr>
                    <w:t xml:space="preserve">South Australia</w:t>
                  </w:r>
                </w:p>
                <w:p>
                  <w:pPr>
                    <w:pStyle w:val="ListParagraph"/>
                    <w:numPr>
                      <w:ilvl w:val="0"/>
                      <w:numId w:val="8"/>
                    </w:numPr>
                  </w:pPr>
                  <w:r>
                    <w:rPr>
                      <w:rStyle w:val="row-content-rich-text"/>
                    </w:rPr>
                    <w:t xml:space="preserve">Reporting of non-assessable income is not mandatory. Therefore, gross weekly household income information may be under-reported.</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Sex of main applicant is not part of the collection for the Australian Capital Territory. It is derived from the applicant’s title and name.</w:t>
                  </w:r>
                </w:p>
                <w:p>
                  <w:pPr>
                    <w:pStyle w:val="ListParagraph"/>
                    <w:numPr>
                      <w:ilvl w:val="0"/>
                      <w:numId w:val="9"/>
                    </w:numPr>
                  </w:pPr>
                  <w:r>
                    <w:rPr>
                      <w:rStyle w:val="row-content-rich-text"/>
                    </w:rPr>
                    <w:t xml:space="preserve">Rent charged is not collected for relocation expenses assistance.</w:t>
                  </w:r>
                </w:p>
                <w:p>
                  <w:pPr>
                    <w:spacing w:after="160"/>
                  </w:pPr>
                  <w:r>
                    <w:rPr>
                      <w:rStyle w:val="row-content-rich-text"/>
                      <w:b/>
                    </w:rPr>
                    <w:t xml:space="preserve">Northern Territory</w:t>
                  </w:r>
                </w:p>
                <w:p>
                  <w:pPr>
                    <w:pStyle w:val="ListParagraph"/>
                    <w:numPr>
                      <w:ilvl w:val="0"/>
                      <w:numId w:val="10"/>
                    </w:numPr>
                  </w:pPr>
                  <w:r>
                    <w:rPr>
                      <w:rStyle w:val="row-content-rich-text"/>
                    </w:rPr>
                    <w:t xml:space="preserve">Weekly rent charged is not available in the Northern Territory’s reporting system.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w:t>
                  </w:r>
                </w:p>
                <w:p>
                  <w:pPr>
                    <w:pStyle w:val="ListParagraph"/>
                    <w:numPr>
                      <w:ilvl w:val="0"/>
                      <w:numId w:val="11"/>
                    </w:numPr>
                  </w:pPr>
                  <w:r>
                    <w:rPr>
                      <w:rStyle w:val="row-content-rich-text"/>
                    </w:rPr>
                    <w:t xml:space="preserve">Numbers of households assisted by rental grants, subsidies and relief cannot be directly compared with figures produced prior to 2011–12 due to a change in methodology.</w:t>
                  </w:r>
                </w:p>
                <w:p>
                  <w:pPr>
                    <w:pStyle w:val="ListParagraph"/>
                    <w:numPr>
                      <w:ilvl w:val="0"/>
                      <w:numId w:val="11"/>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2"/>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12"/>
                    </w:numPr>
                  </w:pPr>
                  <w:r>
                    <w:rPr>
                      <w:rStyle w:val="row-content-rich-text"/>
                    </w:rPr>
                    <w:t xml:space="preserve">Victoria and Queensland—at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3"/>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3"/>
                    </w:numPr>
                  </w:pPr>
                  <w:r>
                    <w:rPr>
                      <w:rStyle w:val="row-content-rich-text"/>
                    </w:rPr>
                    <w:t xml:space="preserve">Queensland—at 30 June.</w:t>
                  </w:r>
                </w:p>
                <w:p>
                  <w:pPr>
                    <w:pStyle w:val="ListParagraph"/>
                    <w:numPr>
                      <w:ilvl w:val="0"/>
                      <w:numId w:val="13"/>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4"/>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4"/>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4"/>
                    </w:numPr>
                  </w:pPr>
                  <w:r>
                    <w:rPr>
                      <w:rStyle w:val="row-content-rich-text"/>
                    </w:rPr>
                    <w:t xml:space="preserve">From 2015–16, Indigenous status of the household is required to be collected from all PRA recipients. This has led to better identification of Indigenous clients.</w:t>
                  </w:r>
                </w:p>
                <w:p>
                  <w:pPr>
                    <w:spacing w:after="160"/>
                  </w:pPr>
                  <w:r>
                    <w:rPr>
                      <w:rStyle w:val="row-content-rich-text"/>
                      <w:b/>
                    </w:rPr>
                    <w:t xml:space="preserve">Victoria</w:t>
                  </w:r>
                </w:p>
                <w:p>
                  <w:pPr>
                    <w:pStyle w:val="ListParagraph"/>
                    <w:numPr>
                      <w:ilvl w:val="0"/>
                      <w:numId w:val="15"/>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5"/>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w:t>
                  </w:r>
                </w:p>
                <w:p>
                  <w:pPr>
                    <w:spacing w:after="160"/>
                  </w:pPr>
                  <w:r>
                    <w:rPr>
                      <w:rStyle w:val="row-content-rich-text"/>
                      <w:b/>
                    </w:rPr>
                    <w:t xml:space="preserve">Western Australia</w:t>
                  </w:r>
                </w:p>
                <w:p>
                  <w:pPr>
                    <w:pStyle w:val="ListParagraph"/>
                    <w:numPr>
                      <w:ilvl w:val="0"/>
                      <w:numId w:val="16"/>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6"/>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6"/>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7"/>
                    </w:numPr>
                  </w:pPr>
                  <w:r>
                    <w:rPr>
                      <w:rStyle w:val="row-content-rich-text"/>
                    </w:rPr>
                    <w:t xml:space="preserve">Prior to 2011–12, clients receiving emergency hotel/motel accommodation were reported under ‘rental grants, subsidies and relief’.</w:t>
                  </w:r>
                </w:p>
                <w:p>
                  <w:pPr>
                    <w:pStyle w:val="ListParagraph"/>
                    <w:numPr>
                      <w:ilvl w:val="0"/>
                      <w:numId w:val="17"/>
                    </w:numPr>
                  </w:pPr>
                  <w:r>
                    <w:rPr>
                      <w:rStyle w:val="row-content-rich-text"/>
                    </w:rPr>
                    <w:t xml:space="preserve">From 2011–12 to 2018–19, clients receiving emergency hotel/motel accommodation were reported under ‘other’. Thus, the number of households assisted through ‘other’ assistance from 2011–12 are not comparable with earlier collections. Weekly rent was not available for this type of assistance and gross weekly income amount and source were not always available.</w:t>
                  </w:r>
                </w:p>
                <w:p>
                  <w:pPr>
                    <w:pStyle w:val="ListParagraph"/>
                    <w:numPr>
                      <w:ilvl w:val="0"/>
                      <w:numId w:val="17"/>
                    </w:numPr>
                  </w:pPr>
                  <w:r>
                    <w:rPr>
                      <w:rStyle w:val="row-content-rich-text"/>
                    </w:rPr>
                    <w:t xml:space="preserve">From 2019–20, emergency hotel/motel accommodation is not considered in-scope for this collection.</w:t>
                  </w:r>
                </w:p>
                <w:p>
                  <w:pPr>
                    <w:pStyle w:val="ListParagraph"/>
                    <w:numPr>
                      <w:ilvl w:val="0"/>
                      <w:numId w:val="17"/>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7"/>
                    </w:numPr>
                  </w:pPr>
                  <w:r>
                    <w:rPr>
                      <w:rStyle w:val="row-content-rich-text"/>
                    </w:rPr>
                    <w:t xml:space="preserve"> </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  </w:t>
                  </w:r>
                </w:p>
                <w:p>
                  <w:pPr>
                    <w:pStyle w:val="ListParagraph"/>
                    <w:numPr>
                      <w:ilvl w:val="0"/>
                      <w:numId w:val="18"/>
                    </w:numPr>
                  </w:pPr>
                  <w:r>
                    <w:rPr>
                      <w:rStyle w:val="row-content-rich-text"/>
                    </w:rPr>
                    <w:t xml:space="preserve">In 2016–17, there was improved data quality in the identification of Indigenous data.</w:t>
                  </w:r>
                </w:p>
                <w:p>
                  <w:pPr>
                    <w:pStyle w:val="ListParagraph"/>
                    <w:numPr>
                      <w:ilvl w:val="0"/>
                      <w:numId w:val="18"/>
                    </w:numPr>
                  </w:pPr>
                  <w:r>
                    <w:rPr>
                      <w:rStyle w:val="row-content-rich-text"/>
                    </w:rPr>
                    <w:t xml:space="preserve"> </w:t>
                  </w:r>
                </w:p>
                <w:p>
                  <w:pPr>
                    <w:pStyle w:val="ListParagraph"/>
                    <w:numPr>
                      <w:ilvl w:val="0"/>
                      <w:numId w:val="18"/>
                    </w:numPr>
                  </w:pPr>
                  <w:r>
                    <w:rPr>
                      <w:rStyle w:val="row-content-rich-text"/>
                    </w:rPr>
                    <w:t xml:space="preserve">Prior to 2018–19, the date of assistance was the date the assistance was approved for payment. From 2018–19, the date of assistance is the date on which it was paid.</w:t>
                  </w:r>
                </w:p>
                <w:p>
                  <w:pPr>
                    <w:spacing w:after="160"/>
                  </w:pPr>
                  <w:r>
                    <w:rPr>
                      <w:rStyle w:val="row-content-rich-text"/>
                      <w:b/>
                    </w:rPr>
                    <w:t xml:space="preserve">Northern Territory</w:t>
                  </w:r>
                </w:p>
                <w:p>
                  <w:pPr>
                    <w:pStyle w:val="ListParagraph"/>
                    <w:numPr>
                      <w:ilvl w:val="0"/>
                      <w:numId w:val="19"/>
                    </w:numPr>
                  </w:pPr>
                  <w:r>
                    <w:rPr>
                      <w:rStyle w:val="row-content-rich-text"/>
                    </w:rPr>
                    <w:t xml:space="preserve">Prior to 2018–19, Indigenous households were under-reported because details of non-income earning household members were not captured in the collection.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ace611d43743a3">
              <w:r>
                <w:rPr>
                  <w:rStyle w:val="Hyperlink"/>
                </w:rPr>
                <w:t xml:space="preserve">Private Rent Assistance Collection, 2018–19; Quality Statement</w:t>
              </w:r>
            </w:hyperlink>
          </w:p>
          <w:p>
            <w:pPr>
              <w:spacing w:before="0" w:after="0"/>
            </w:pPr>
            <w:r>
              <w:rPr>
                <w:rStyle w:val="row-content"/>
                <w:color w:val="244061"/>
              </w:rPr>
              <w:t xml:space="preserve">       </w:t>
            </w:r>
            <w:hyperlink w:history="true" r:id="Rfcb75bbb734a41a6">
              <w:r>
                <w:rPr>
                  <w:rStyle w:val="Hyperlink"/>
                  <w:color w:val="244061"/>
                </w:rPr>
                <w:t xml:space="preserve">AIHW Data Quality Statements</w:t>
              </w:r>
            </w:hyperlink>
            <w:r>
              <w:rPr>
                <w:rStyle w:val="row-content"/>
                <w:color w:val="244061"/>
              </w:rPr>
              <w:t xml:space="preserve">, Superseded 24/02/2021</w:t>
            </w:r>
          </w:p>
          <w:p>
            <w:r>
              <w:br/>
            </w:r>
            <w:r>
              <w:rPr>
                <w:rStyle w:val="row-content"/>
              </w:rPr>
              <w:t xml:space="preserve">Has been superseded by </w:t>
            </w:r>
            <w:hyperlink w:history="true" r:id="Rb71913f5a95948c9">
              <w:r>
                <w:rPr>
                  <w:rStyle w:val="Hyperlink"/>
                </w:rPr>
                <w:t xml:space="preserve">Private Rent Assistance Collection, 2020–21; Quality Statement</w:t>
              </w:r>
            </w:hyperlink>
          </w:p>
          <w:p>
            <w:pPr>
              <w:spacing w:before="0" w:after="0"/>
            </w:pPr>
            <w:r>
              <w:rPr>
                <w:rStyle w:val="row-content"/>
                <w:color w:val="244061"/>
              </w:rPr>
              <w:t xml:space="preserve">       </w:t>
            </w:r>
            <w:hyperlink w:history="true" r:id="R176fc6b4da624b30">
              <w:r>
                <w:rPr>
                  <w:rStyle w:val="Hyperlink"/>
                  <w:color w:val="244061"/>
                </w:rPr>
                <w:t xml:space="preserve">AIHW Data Quality Statements</w:t>
              </w:r>
            </w:hyperlink>
            <w:r>
              <w:rPr>
                <w:rStyle w:val="row-content"/>
                <w:color w:val="244061"/>
              </w:rPr>
              <w:t xml:space="preserve">, Superseded 27/03/2023</w:t>
            </w:r>
          </w:p>
          <w:p>
            <w:r>
              <w:br/>
            </w:r>
          </w:p>
        </w:tc>
      </w:tr>
    </w:tbl>
    <w:p>
      <w:r>
        <w:br/>
      </w:r>
    </w:p>
    <w:sectPr>
      <w:footerReference xmlns:r="http://schemas.openxmlformats.org/officeDocument/2006/relationships" w:type="default" r:id="Rd57e7f3b6b30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890e9c204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e7f3b6b3047f8" /><Relationship Type="http://schemas.openxmlformats.org/officeDocument/2006/relationships/header" Target="/word/header1.xml" Id="Recc700efb1ef4ba4" /><Relationship Type="http://schemas.openxmlformats.org/officeDocument/2006/relationships/settings" Target="/word/settings.xml" Id="Reeb90432b0b04869" /><Relationship Type="http://schemas.openxmlformats.org/officeDocument/2006/relationships/styles" Target="/word/styles.xml" Id="Rccaa6ab9c876480e" /><Relationship Type="http://schemas.openxmlformats.org/officeDocument/2006/relationships/hyperlink" Target="https://meteor.aihw.gov.au/RegistrationAuthority/5" TargetMode="External" Id="R6e5a5ac4aa8e4362" /><Relationship Type="http://schemas.openxmlformats.org/officeDocument/2006/relationships/numbering" Target="/word/numbering.xml" Id="R4a100a66601d4c62" /><Relationship Type="http://schemas.openxmlformats.org/officeDocument/2006/relationships/hyperlink" Target="https://www.legislation.gov.au/Series/C2004A03450" TargetMode="External" Id="Ra04e05c4537644a5" /><Relationship Type="http://schemas.openxmlformats.org/officeDocument/2006/relationships/hyperlink" Target="http://www.aihw.gov.au/aihw-board/" TargetMode="External" Id="Rbe269d1b06134914" /><Relationship Type="http://schemas.openxmlformats.org/officeDocument/2006/relationships/hyperlink" Target="https://www.legislation.gov.au/Series/C2004A03712" TargetMode="External" Id="R6bbf09e10bf74a64" /><Relationship Type="http://schemas.openxmlformats.org/officeDocument/2006/relationships/hyperlink" Target="http://www.aihw.gov.au/" TargetMode="External" Id="R2683412895e54db6" /><Relationship Type="http://schemas.openxmlformats.org/officeDocument/2006/relationships/hyperlink" Target="https://www.aihw.gov.au/reports-statistics/health-welfare-services/housing-assistance/overview" TargetMode="External" Id="Rf21052855bc349b3" /><Relationship Type="http://schemas.openxmlformats.org/officeDocument/2006/relationships/hyperlink" Target="http://www.aihw.gov.au/our-services/data-on-request" TargetMode="External" Id="R055ae1fc011244c8" /><Relationship Type="http://schemas.openxmlformats.org/officeDocument/2006/relationships/hyperlink" Target="https://meteor.aihw.gov.au/content/596529" TargetMode="External" Id="R168635e75c8a4834" /><Relationship Type="http://schemas.openxmlformats.org/officeDocument/2006/relationships/hyperlink" Target="https://meteor.aihw.gov.au/content/721485" TargetMode="External" Id="R88ace611d43743a3" /><Relationship Type="http://schemas.openxmlformats.org/officeDocument/2006/relationships/hyperlink" Target="https://meteor.aihw.gov.au/RegistrationAuthority/5" TargetMode="External" Id="Rfcb75bbb734a41a6" /><Relationship Type="http://schemas.openxmlformats.org/officeDocument/2006/relationships/hyperlink" Target="https://meteor.aihw.gov.au/content/752568" TargetMode="External" Id="Rb71913f5a95948c9" /><Relationship Type="http://schemas.openxmlformats.org/officeDocument/2006/relationships/hyperlink" Target="https://meteor.aihw.gov.au/RegistrationAuthority/5" TargetMode="External" Id="R176fc6b4da624b30" /></Relationships>
</file>

<file path=word/_rels/header1.xml.rels>&#65279;<?xml version="1.0" encoding="utf-8"?><Relationships xmlns="http://schemas.openxmlformats.org/package/2006/relationships"><Relationship Type="http://schemas.openxmlformats.org/officeDocument/2006/relationships/image" Target="/media/image.png" Id="R163890e9c20445c3" /></Relationships>
</file>