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a088c037804435"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2019–20;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0f51ac21348b7">
              <w:r>
                <w:rPr>
                  <w:rStyle w:val="Hyperlink"/>
                  <w:color w:val="244061"/>
                </w:rPr>
                <w:t xml:space="preserve">AIHW Data Quality Statements</w:t>
              </w:r>
            </w:hyperlink>
            <w:r>
              <w:rPr>
                <w:rStyle w:val="row-content"/>
                <w:color w:val="244061"/>
              </w:rPr>
              <w:t xml:space="preserve">, Superseded 08/12/2021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territories—New South Wales, Queensland, South Australia, Tasmania and the Northern Territory—provide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2019–20 financial year and point in time at 30 June 2020.</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f44421a7625a4eff">
              <w:r>
                <w:rPr>
                  <w:rStyle w:val="Hyperlink"/>
                  <w:i/>
                </w:rPr>
                <w:t xml:space="preserve">Australian Institute of Health and Welfare Act 1987</w:t>
              </w:r>
            </w:hyperlink>
            <w:r>
              <w:rPr>
                <w:rStyle w:val="row-content-rich-text"/>
                <w:i/>
              </w:rPr>
              <w:t xml:space="preserve"> </w:t>
            </w:r>
            <w:r>
              <w:rPr>
                <w:rStyle w:val="row-content-rich-text"/>
              </w:rPr>
              <w:t xml:space="preserve">(Cwlth) to provide reliable, regular and relevant information and statistics on Australia’s health and welfare. It is an independent statutory authority, which is governed by a </w:t>
            </w:r>
            <w:hyperlink w:history="true" r:id="R2ab09370c36f46e0">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hyperlink w:history="true" r:id="Re2e617634ae74608">
              <w:r>
                <w:rPr>
                  <w:rStyle w:val="Hyperlink"/>
                  <w:i/>
                </w:rPr>
                <w:t xml:space="preserve">Privacy Act 1988</w:t>
              </w:r>
            </w:hyperlink>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98aba3e9a162427b">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3fffb0f0a7af4592">
              <w:r>
                <w:rPr>
                  <w:rStyle w:val="Hyperlink"/>
                  <w:i/>
                </w:rPr>
                <w:t xml:space="preserve">Housing assistance in Australia</w:t>
              </w:r>
            </w:hyperlink>
            <w:r>
              <w:rPr>
                <w:rStyle w:val="row-content-rich-text"/>
              </w:rPr>
              <w:t xml:space="preserve"> reports and the Productivity Commission's annual </w:t>
            </w:r>
            <w:hyperlink w:history="true" r:id="Rca573a75a84f4fef">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3e3960d5fa8d448e">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ddbce8918e6b4bb5">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b3958ee668164475">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reported for rebated households, that is, 74%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public housing (PH) and SOMIH applications changed.</w:t>
            </w:r>
          </w:p>
          <w:p>
            <w:pPr>
              <w:pStyle w:val="ListParagraph"/>
              <w:numPr>
                <w:ilvl w:val="0"/>
                <w:numId w:val="5"/>
              </w:numPr>
            </w:pPr>
            <w:r>
              <w:rPr>
                <w:rStyle w:val="row-content-rich-text"/>
              </w:rPr>
              <w:t xml:space="preserve">Income details are only reported for rebated households, that is, 85% of all households.</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community housing waitlist data. Applicants eligible for both the PH and SOMIH programs are reported only in the SOMIH waitlist data.</w:t>
            </w:r>
          </w:p>
          <w:p>
            <w:pPr>
              <w:spacing w:after="160"/>
            </w:pPr>
            <w:r>
              <w:rPr>
                <w:rStyle w:val="row-content-rich-text"/>
                <w:b/>
              </w:rPr>
              <w:t xml:space="preserve">South Australia</w:t>
            </w:r>
          </w:p>
          <w:p>
            <w:pPr>
              <w:pStyle w:val="ListParagraph"/>
              <w:numPr>
                <w:ilvl w:val="0"/>
                <w:numId w:val="6"/>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can no longer distinguish between greatest need reasons. For greatest need households, greatest need reason is reported as homeless (code 1).</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7"/>
              </w:numPr>
            </w:pPr>
            <w:r>
              <w:rPr>
                <w:rStyle w:val="row-content-rich-text"/>
              </w:rPr>
              <w:t xml:space="preserve">From April 2020, eligible applicants were registered for both the PH and SOMIH programs. These applicants are reported only in the SOMIH waitlist data.</w:t>
            </w:r>
          </w:p>
          <w:p>
            <w:pPr>
              <w:pStyle w:val="ListParagraph"/>
              <w:numPr>
                <w:ilvl w:val="0"/>
                <w:numId w:val="7"/>
              </w:numPr>
            </w:pPr>
            <w:r>
              <w:rPr>
                <w:rStyle w:val="row-content-rich-text"/>
              </w:rPr>
              <w:t xml:space="preserve">Housing SA did not supply the ‘dwelling history’ file for 2019–20, which includes the variables necessary for the calculation of turnaround time.</w:t>
            </w:r>
          </w:p>
          <w:p>
            <w:pPr>
              <w:spacing w:after="160"/>
            </w:pPr>
            <w:r>
              <w:rPr>
                <w:rStyle w:val="row-content-rich-text"/>
                <w:b/>
              </w:rPr>
              <w:t xml:space="preserve">Tasmania</w:t>
            </w:r>
          </w:p>
          <w:p>
            <w:pPr>
              <w:pStyle w:val="ListParagraph"/>
              <w:numPr>
                <w:ilvl w:val="0"/>
                <w:numId w:val="8"/>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9"/>
              </w:numPr>
            </w:pPr>
            <w:r>
              <w:rPr>
                <w:rStyle w:val="row-content-rich-text"/>
              </w:rPr>
              <w:t xml:space="preserve">Greatest need information is not collected for SOMIH applicants.</w:t>
            </w:r>
          </w:p>
          <w:p>
            <w:pPr>
              <w:pStyle w:val="ListParagraph"/>
              <w:numPr>
                <w:ilvl w:val="0"/>
                <w:numId w:val="9"/>
              </w:numPr>
            </w:pPr>
            <w:r>
              <w:rPr>
                <w:rStyle w:val="row-content-rich-text"/>
              </w:rPr>
              <w:t xml:space="preserve">Income is not an eligibility factor for SOMIH and therefore a large proportion of households elect not to provide income information. There are significant gaps in the collection of individual client income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SOMIH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For 2018–19 and 2019–20, remoteness area (RA) is determined using a concordance between 2018 postcodes and the Australian Bureau of Statistics (ABS) 2016 RA classification. For 2018–19,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0"/>
              </w:numPr>
            </w:pPr>
            <w:r>
              <w:rPr>
                <w:rStyle w:val="row-content-rich-text"/>
              </w:rPr>
              <w:t xml:space="preserve">Measurements using low income cannot be directly compared with low income measures produced prior to 2009–10 due to a change in methodology. From 2009–10 onwards, low income cut-offs were obtained from the biennial ABS Survey of Income and Housing (SIH). Low income cut-offs for 2018–19 and 2019–20 are based on 2017–18 SIH results. Care is required when comparing low income measures over time.</w:t>
            </w:r>
          </w:p>
          <w:p>
            <w:pPr>
              <w:pStyle w:val="ListParagraph"/>
              <w:numPr>
                <w:ilvl w:val="0"/>
                <w:numId w:val="10"/>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0"/>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1"/>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1"/>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1"/>
              </w:numPr>
            </w:pPr>
            <w:r>
              <w:rPr>
                <w:rStyle w:val="row-content-rich-text"/>
              </w:rPr>
              <w:t xml:space="preserve">The 2016–17 waitlist data excluded suspended applicants, therefore data may not be comparable to previous years.</w:t>
            </w:r>
          </w:p>
          <w:p>
            <w:pPr>
              <w:pStyle w:val="ListParagraph"/>
              <w:numPr>
                <w:ilvl w:val="0"/>
                <w:numId w:val="11"/>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Queensland</w:t>
            </w:r>
          </w:p>
          <w:p>
            <w:pPr>
              <w:pStyle w:val="ListParagraph"/>
              <w:numPr>
                <w:ilvl w:val="0"/>
                <w:numId w:val="12"/>
              </w:numPr>
            </w:pPr>
            <w:r>
              <w:rPr>
                <w:rStyle w:val="row-content-rich-text"/>
              </w:rPr>
              <w:t xml:space="preserve">The mapping of priority reason to national greatest need reason changed in 2019–20.</w:t>
            </w:r>
          </w:p>
          <w:p>
            <w:pPr>
              <w:spacing w:after="160"/>
            </w:pPr>
            <w:r>
              <w:rPr>
                <w:rStyle w:val="row-content-rich-text"/>
                <w:b/>
              </w:rPr>
              <w:t xml:space="preserve">South Australia</w:t>
            </w:r>
          </w:p>
          <w:p>
            <w:pPr>
              <w:pStyle w:val="ListParagraph"/>
              <w:numPr>
                <w:ilvl w:val="0"/>
                <w:numId w:val="13"/>
              </w:numPr>
            </w:pPr>
            <w:r>
              <w:rPr>
                <w:rStyle w:val="row-content-rich-text"/>
              </w:rPr>
              <w:t xml:space="preserve">Since 2012–13, Housing SA has been unable to provide the ‘dwelling history’ file which includes the variables necessary for the calculation of turnaround time.</w:t>
            </w:r>
          </w:p>
          <w:p>
            <w:pPr>
              <w:spacing w:after="160"/>
            </w:pPr>
            <w:r>
              <w:rPr>
                <w:rStyle w:val="row-content-rich-text"/>
                <w:b/>
              </w:rPr>
              <w:t xml:space="preserve">Tasmania </w:t>
            </w:r>
          </w:p>
          <w:p>
            <w:pPr>
              <w:pStyle w:val="ListParagraph"/>
              <w:numPr>
                <w:ilvl w:val="0"/>
                <w:numId w:val="14"/>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4"/>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pStyle w:val="ListParagraph"/>
              <w:numPr>
                <w:ilvl w:val="0"/>
                <w:numId w:val="14"/>
              </w:numPr>
            </w:pPr>
            <w:r>
              <w:rPr>
                <w:rStyle w:val="row-content-rich-text"/>
              </w:rPr>
              <w:t xml:space="preserve">In 2018–19, relationship status for household members was not consistently recorded resulting in a number of unknown values for overcrowding and underutilisation measures.</w:t>
            </w:r>
          </w:p>
          <w:p>
            <w:pPr>
              <w:spacing w:after="160"/>
            </w:pPr>
            <w:r>
              <w:rPr>
                <w:rStyle w:val="row-content-rich-text"/>
                <w:b/>
              </w:rPr>
              <w:t xml:space="preserve">Northern Territory</w:t>
            </w:r>
          </w:p>
          <w:p>
            <w:pPr>
              <w:pStyle w:val="ListParagraph"/>
              <w:numPr>
                <w:ilvl w:val="0"/>
                <w:numId w:val="15"/>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were provided in 2016–17. Unit record data were provided in 2017–18.</w:t>
            </w:r>
          </w:p>
          <w:p>
            <w:pPr>
              <w:pStyle w:val="ListParagraph"/>
              <w:numPr>
                <w:ilvl w:val="0"/>
                <w:numId w:val="15"/>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In 2019–20, reinstated applicants who relocated to another dwelling in the same housing program but chose to wait for their transfer in private accommodation were counted as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350f95e9444190">
              <w:r>
                <w:rPr>
                  <w:rStyle w:val="Hyperlink"/>
                </w:rPr>
                <w:t xml:space="preserve">State Owned and Managed Indigenous Housing Data Collection, 2018–19; Quality Statement</w:t>
              </w:r>
            </w:hyperlink>
          </w:p>
          <w:p>
            <w:pPr>
              <w:spacing w:before="0" w:after="0"/>
            </w:pPr>
            <w:r>
              <w:rPr>
                <w:rStyle w:val="row-content"/>
                <w:color w:val="244061"/>
              </w:rPr>
              <w:t xml:space="preserve">       </w:t>
            </w:r>
            <w:hyperlink w:history="true" r:id="R77200539a0254fd4">
              <w:r>
                <w:rPr>
                  <w:rStyle w:val="Hyperlink"/>
                  <w:color w:val="244061"/>
                </w:rPr>
                <w:t xml:space="preserve">AIHW Data Quality Statements</w:t>
              </w:r>
            </w:hyperlink>
            <w:r>
              <w:rPr>
                <w:rStyle w:val="row-content"/>
                <w:color w:val="244061"/>
              </w:rPr>
              <w:t xml:space="preserve">, Superseded 08/01/2021</w:t>
            </w:r>
          </w:p>
          <w:p>
            <w:r>
              <w:br/>
            </w:r>
            <w:r>
              <w:rPr>
                <w:rStyle w:val="row-content"/>
              </w:rPr>
              <w:t xml:space="preserve">Has been superseded by </w:t>
            </w:r>
            <w:hyperlink w:history="true" r:id="R5d54887bf5a24ef0">
              <w:r>
                <w:rPr>
                  <w:rStyle w:val="Hyperlink"/>
                </w:rPr>
                <w:t xml:space="preserve">State Owned and Managed Indigenous Housing Data Collection, 2020–21; Quality Statement</w:t>
              </w:r>
            </w:hyperlink>
          </w:p>
          <w:p>
            <w:pPr>
              <w:spacing w:before="0" w:after="0"/>
            </w:pPr>
            <w:r>
              <w:rPr>
                <w:rStyle w:val="row-content"/>
                <w:color w:val="244061"/>
              </w:rPr>
              <w:t xml:space="preserve">       </w:t>
            </w:r>
            <w:hyperlink w:history="true" r:id="R6a67c5c2dbce4c78">
              <w:r>
                <w:rPr>
                  <w:rStyle w:val="Hyperlink"/>
                  <w:color w:val="244061"/>
                </w:rPr>
                <w:t xml:space="preserve">AIHW Data Quality Statements</w:t>
              </w:r>
            </w:hyperlink>
            <w:r>
              <w:rPr>
                <w:rStyle w:val="row-content"/>
                <w:color w:val="244061"/>
              </w:rPr>
              <w:t xml:space="preserve">, Superseded 23/11/2022</w:t>
            </w:r>
          </w:p>
          <w:p>
            <w:r>
              <w:br/>
            </w:r>
          </w:p>
        </w:tc>
      </w:tr>
    </w:tbl>
    <w:p>
      <w:r>
        <w:br/>
      </w:r>
    </w:p>
    <w:sectPr>
      <w:footerReference xmlns:r="http://schemas.openxmlformats.org/officeDocument/2006/relationships" w:type="default" r:id="Rabf7051c6165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86be63e2fd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7051c61654be2" /><Relationship Type="http://schemas.openxmlformats.org/officeDocument/2006/relationships/header" Target="/word/header1.xml" Id="R75c817a1657f42d7" /><Relationship Type="http://schemas.openxmlformats.org/officeDocument/2006/relationships/settings" Target="/word/settings.xml" Id="R348d062b82d44868" /><Relationship Type="http://schemas.openxmlformats.org/officeDocument/2006/relationships/styles" Target="/word/styles.xml" Id="Re5a14f6685ac4740" /><Relationship Type="http://schemas.openxmlformats.org/officeDocument/2006/relationships/hyperlink" Target="https://meteor.aihw.gov.au/RegistrationAuthority/5" TargetMode="External" Id="Rf0b0f51ac21348b7" /><Relationship Type="http://schemas.openxmlformats.org/officeDocument/2006/relationships/numbering" Target="/word/numbering.xml" Id="Rdbdb865e7b914d08" /><Relationship Type="http://schemas.openxmlformats.org/officeDocument/2006/relationships/hyperlink" Target="https://www.legislation.gov.au/Series/C2004A03450" TargetMode="External" Id="Rf44421a7625a4eff" /><Relationship Type="http://schemas.openxmlformats.org/officeDocument/2006/relationships/hyperlink" Target="https://www.aihw.gov.au/about-us/our-governance" TargetMode="External" Id="R2ab09370c36f46e0" /><Relationship Type="http://schemas.openxmlformats.org/officeDocument/2006/relationships/hyperlink" Target="https://www.legislation.gov.au/Series/C2004A03712" TargetMode="External" Id="Re2e617634ae74608" /><Relationship Type="http://schemas.openxmlformats.org/officeDocument/2006/relationships/hyperlink" Target="http://www.aihw.gov.au/" TargetMode="External" Id="R98aba3e9a162427b" /><Relationship Type="http://schemas.openxmlformats.org/officeDocument/2006/relationships/hyperlink" Target="https://www.aihw.gov.au/reports-statistics/health-welfare-services/housing-assistance/overview" TargetMode="External" Id="R3fffb0f0a7af4592" /><Relationship Type="http://schemas.openxmlformats.org/officeDocument/2006/relationships/hyperlink" Target="http://www.pc.gov.au/research/ongoing/report-on-government-services" TargetMode="External" Id="Rca573a75a84f4fef" /><Relationship Type="http://schemas.openxmlformats.org/officeDocument/2006/relationships/hyperlink" Target="https://www.aihw.gov.au/our-services/data-on-request" TargetMode="External" Id="R3e3960d5fa8d448e" /><Relationship Type="http://schemas.openxmlformats.org/officeDocument/2006/relationships/hyperlink" Target="mailto:info@aihw.gov.au" TargetMode="External" Id="Rddbce8918e6b4bb5" /><Relationship Type="http://schemas.openxmlformats.org/officeDocument/2006/relationships/hyperlink" Target="https://meteor.aihw.gov.au/content/711016" TargetMode="External" Id="Rb3958ee668164475" /><Relationship Type="http://schemas.openxmlformats.org/officeDocument/2006/relationships/hyperlink" Target="https://meteor.aihw.gov.au/content/720655" TargetMode="External" Id="R47350f95e9444190" /><Relationship Type="http://schemas.openxmlformats.org/officeDocument/2006/relationships/hyperlink" Target="https://meteor.aihw.gov.au/RegistrationAuthority/5" TargetMode="External" Id="R77200539a0254fd4" /><Relationship Type="http://schemas.openxmlformats.org/officeDocument/2006/relationships/hyperlink" Target="https://meteor.aihw.gov.au/content/749353" TargetMode="External" Id="R5d54887bf5a24ef0" /><Relationship Type="http://schemas.openxmlformats.org/officeDocument/2006/relationships/hyperlink" Target="https://meteor.aihw.gov.au/RegistrationAuthority/5" TargetMode="External" Id="R6a67c5c2dbce4c78" /></Relationships>
</file>

<file path=word/_rels/header1.xml.rels>&#65279;<?xml version="1.0" encoding="utf-8"?><Relationships xmlns="http://schemas.openxmlformats.org/package/2006/relationships"><Relationship Type="http://schemas.openxmlformats.org/officeDocument/2006/relationships/image" Target="/media/image.png" Id="Re086be63e2fd44e0" /></Relationships>
</file>