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abcc8810404c31"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f3f5704814fdb">
              <w:r>
                <w:rPr>
                  <w:rStyle w:val="Hyperlink"/>
                  <w:color w:val="244061"/>
                </w:rPr>
                <w:t xml:space="preserve">AIHW Data Quality Statements</w:t>
              </w:r>
            </w:hyperlink>
            <w:r>
              <w:rPr>
                <w:rStyle w:val="row-content"/>
                <w:color w:val="244061"/>
              </w:rPr>
              <w:t xml:space="preserve">, Superseded 08/12/2021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2019–20 financial year and point in time at 30 June 2020.</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48a8b09816634260">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ef7efafd259547c8">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29ee423fbabd4ee2">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453c2f040e2349bd">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109f8414962e42d9">
              <w:r>
                <w:rPr>
                  <w:rStyle w:val="Hyperlink"/>
                  <w:i/>
                </w:rPr>
                <w:t xml:space="preserve">Housing assistance in Australia</w:t>
              </w:r>
            </w:hyperlink>
            <w:r>
              <w:rPr>
                <w:rStyle w:val="row-content-rich-text"/>
              </w:rPr>
              <w:t xml:space="preserve"> reports and the Productivity Commission's annual </w:t>
            </w:r>
            <w:hyperlink w:history="true" r:id="Rfb54fd35726a4296">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adf1bb17d58140eb">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the AIHW publications can be directed to </w:t>
            </w:r>
            <w:hyperlink w:history="true" r:id="R188a7ec1fe374c7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0bf16e8867f84adb">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reported for rebated households, that is, 94%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reported for rebated households, that is, 89%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State Owned and Managed Indigenous Housing (SOMIH) applications changed.</w:t>
            </w:r>
          </w:p>
          <w:p>
            <w:pPr>
              <w:pStyle w:val="ListParagraph"/>
              <w:numPr>
                <w:ilvl w:val="0"/>
                <w:numId w:val="6"/>
              </w:numPr>
            </w:pPr>
            <w:r>
              <w:rPr>
                <w:rStyle w:val="row-content-rich-text"/>
              </w:rPr>
              <w:t xml:space="preserve">Income details are only reported for rebated households, that is, 97%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 Applicants eligible for both the PH and SOMIH programs are reported only in the SOMIH waitlist data.</w:t>
            </w:r>
          </w:p>
          <w:p>
            <w:pPr>
              <w:pStyle w:val="ListParagraph"/>
              <w:numPr>
                <w:ilvl w:val="0"/>
                <w:numId w:val="6"/>
              </w:numPr>
            </w:pPr>
            <w:r>
              <w:rPr>
                <w:rStyle w:val="row-content-rich-text"/>
              </w:rPr>
              <w:t xml:space="preserve">Market rent is only current for occupied dwellings.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a total of 173 PH dwellings (121 occupied and 52 vacant)</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9"/>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9"/>
              </w:numPr>
            </w:pPr>
            <w:r>
              <w:rPr>
                <w:rStyle w:val="row-content-rich-text"/>
              </w:rPr>
              <w:t xml:space="preserve">Housing SA did not supply the ‘dwelling history’ file for 2019–20, which includes the variables necessary for the calculation of turnaround time.</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Income details are only reported for rebated households, that is, 94% of households.</w:t>
            </w:r>
          </w:p>
          <w:p>
            <w:pPr>
              <w:pStyle w:val="ListParagraph"/>
              <w:numPr>
                <w:ilvl w:val="0"/>
                <w:numId w:val="10"/>
              </w:numPr>
            </w:pPr>
            <w:r>
              <w:rPr>
                <w:rStyle w:val="row-content-rich-text"/>
              </w:rPr>
              <w:t xml:space="preserve">The first name and surname components used to calculate SLK were not provided.</w:t>
            </w:r>
          </w:p>
          <w:p>
            <w:pPr>
              <w:pStyle w:val="ListParagraph"/>
              <w:numPr>
                <w:ilvl w:val="0"/>
                <w:numId w:val="10"/>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1"/>
              </w:numPr>
            </w:pPr>
            <w:r>
              <w:rPr>
                <w:rStyle w:val="row-content-rich-text"/>
              </w:rPr>
              <w:t xml:space="preserve">For 2018–19 and 2019–20,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1"/>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Low income cut-offs for 2018–19 and 2019–20 are based on 2017–18 SIH results. Care is required when comparing low-income measures over time.</w:t>
            </w:r>
          </w:p>
          <w:p>
            <w:pPr>
              <w:pStyle w:val="ListParagraph"/>
              <w:numPr>
                <w:ilvl w:val="0"/>
                <w:numId w:val="11"/>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1"/>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2"/>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2"/>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2"/>
              </w:numPr>
            </w:pPr>
            <w:r>
              <w:rPr>
                <w:rStyle w:val="row-content-rich-text"/>
              </w:rPr>
              <w:t xml:space="preserve">The 2016–17 waitlist data excluded suspended applicants, therefore data may not be comparable to previous years.</w:t>
            </w:r>
          </w:p>
          <w:p>
            <w:pPr>
              <w:pStyle w:val="ListParagraph"/>
              <w:numPr>
                <w:ilvl w:val="0"/>
                <w:numId w:val="12"/>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3"/>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Queensland</w:t>
            </w:r>
          </w:p>
          <w:p>
            <w:pPr>
              <w:pStyle w:val="ListParagraph"/>
              <w:numPr>
                <w:ilvl w:val="0"/>
                <w:numId w:val="14"/>
              </w:numPr>
            </w:pPr>
            <w:r>
              <w:rPr>
                <w:rStyle w:val="row-content-rich-text"/>
              </w:rPr>
              <w:t xml:space="preserve">The mapping of priority reason to national greatest need reason changed in 2019–20.</w:t>
            </w:r>
          </w:p>
          <w:p>
            <w:pPr>
              <w:spacing w:after="160"/>
            </w:pPr>
            <w:r>
              <w:rPr>
                <w:rStyle w:val="row-content-rich-text"/>
                <w:b/>
              </w:rPr>
              <w:t xml:space="preserve">Western Australia</w:t>
            </w:r>
          </w:p>
          <w:p>
            <w:pPr>
              <w:pStyle w:val="ListParagraph"/>
              <w:numPr>
                <w:ilvl w:val="0"/>
                <w:numId w:val="15"/>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5"/>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6"/>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17"/>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7"/>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7"/>
              </w:numPr>
            </w:pPr>
            <w:r>
              <w:rPr>
                <w:rStyle w:val="row-content-rich-text"/>
              </w:rPr>
              <w:t xml:space="preserve">In 2018–19, relationship status for household members was not consistently recorded resulting in a number of unknown values for overcrowding and underutilisation measures.</w:t>
            </w:r>
          </w:p>
          <w:p>
            <w:pPr>
              <w:pStyle w:val="ListParagraph"/>
              <w:numPr>
                <w:ilvl w:val="0"/>
                <w:numId w:val="17"/>
              </w:numPr>
            </w:pPr>
            <w:r>
              <w:rPr>
                <w:rStyle w:val="row-content-rich-text"/>
              </w:rPr>
              <w:t xml:space="preserve">Greatest need reason was not reported until 2018–19.</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8"/>
              </w:numPr>
            </w:pPr>
            <w:r>
              <w:rPr>
                <w:rStyle w:val="row-content-rich-text"/>
              </w:rPr>
              <w:t xml:space="preserve">In 2018–19, 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pStyle w:val="ListParagraph"/>
              <w:numPr>
                <w:ilvl w:val="0"/>
                <w:numId w:val="18"/>
              </w:numPr>
            </w:pPr>
            <w:r>
              <w:rPr>
                <w:rStyle w:val="row-content-rich-text"/>
              </w:rPr>
              <w:t xml:space="preserve">In 2019–20, the increase in the number of households with at least one member who reports to experience disability is likely due to an improvement in data quality.</w:t>
            </w:r>
          </w:p>
          <w:p>
            <w:pPr>
              <w:spacing w:after="160"/>
            </w:pPr>
            <w:r>
              <w:rPr>
                <w:rStyle w:val="row-content-rich-text"/>
                <w:b/>
              </w:rPr>
              <w:t xml:space="preserve">Northern Territory</w:t>
            </w:r>
          </w:p>
          <w:p>
            <w:pPr>
              <w:pStyle w:val="ListParagraph"/>
              <w:numPr>
                <w:ilvl w:val="0"/>
                <w:numId w:val="19"/>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the State Owned and Managed Indigenous Housing collection.</w:t>
            </w:r>
          </w:p>
          <w:p>
            <w:pPr>
              <w:pStyle w:val="ListParagraph"/>
              <w:numPr>
                <w:ilvl w:val="0"/>
                <w:numId w:val="19"/>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In 2019–20, reinstated applicants who relocated to another dwelling in the same housing program but chose to wait for their transfer in private accommodation were counted as transfers.</w:t>
            </w:r>
          </w:p>
          <w:p>
            <w:pPr>
              <w:pStyle w:val="ListParagraph"/>
              <w:numPr>
                <w:ilvl w:val="0"/>
                <w:numId w:val="19"/>
              </w:numPr>
            </w:pPr>
            <w:r>
              <w:rPr>
                <w:rStyle w:val="row-content-rich-text"/>
              </w:rPr>
              <w:t xml:space="preserve">In 2018–19, dwellings returning to service after receiving major upgrades under stimulus programs were a contributing factor to high turnaround times.</w:t>
            </w:r>
          </w:p>
          <w:p>
            <w:pPr>
              <w:pStyle w:val="ListParagraph"/>
              <w:numPr>
                <w:ilvl w:val="0"/>
                <w:numId w:val="19"/>
              </w:numPr>
            </w:pPr>
            <w:r>
              <w:rPr>
                <w:rStyle w:val="row-content-rich-text"/>
              </w:rPr>
              <w:t xml:space="preserve">In 2019–20, more households provided income details. This may reflect an increase in households who have provided consent for Centrelink income data to be collected automatically.</w:t>
            </w:r>
          </w:p>
          <w:p>
            <w:pPr>
              <w:pStyle w:val="ListParagraph"/>
              <w:numPr>
                <w:ilvl w:val="0"/>
                <w:numId w:val="19"/>
              </w:numPr>
            </w:pPr>
            <w:r>
              <w:rPr>
                <w:rStyle w:val="row-content-rich-text"/>
              </w:rPr>
              <w:t xml:space="preserve">In 2019–20, the decrease in total vacancy days is partly due to improved classification of vacancy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835b11bfd2425b">
              <w:r>
                <w:rPr>
                  <w:rStyle w:val="Hyperlink"/>
                </w:rPr>
                <w:t xml:space="preserve">Public Housing Data Collection, 2018–19; Quality Statement</w:t>
              </w:r>
            </w:hyperlink>
          </w:p>
          <w:p>
            <w:pPr>
              <w:spacing w:before="0" w:after="0"/>
            </w:pPr>
            <w:r>
              <w:rPr>
                <w:rStyle w:val="row-content"/>
                <w:color w:val="244061"/>
              </w:rPr>
              <w:t xml:space="preserve">       </w:t>
            </w:r>
            <w:hyperlink w:history="true" r:id="Rdd899c9a1ae24b60">
              <w:r>
                <w:rPr>
                  <w:rStyle w:val="Hyperlink"/>
                  <w:color w:val="244061"/>
                </w:rPr>
                <w:t xml:space="preserve">AIHW Data Quality Statements</w:t>
              </w:r>
            </w:hyperlink>
            <w:r>
              <w:rPr>
                <w:rStyle w:val="row-content"/>
                <w:color w:val="244061"/>
              </w:rPr>
              <w:t xml:space="preserve">, Superseded 14/12/2020</w:t>
            </w:r>
          </w:p>
          <w:p>
            <w:r>
              <w:br/>
            </w:r>
            <w:r>
              <w:rPr>
                <w:rStyle w:val="row-content"/>
              </w:rPr>
              <w:t xml:space="preserve">Has been superseded by </w:t>
            </w:r>
            <w:hyperlink w:history="true" r:id="R44b88d0c270d4b0e">
              <w:r>
                <w:rPr>
                  <w:rStyle w:val="Hyperlink"/>
                </w:rPr>
                <w:t xml:space="preserve">Public Housing Data Collection, 2020–21; Quality Statement</w:t>
              </w:r>
            </w:hyperlink>
          </w:p>
          <w:p>
            <w:pPr>
              <w:spacing w:before="0" w:after="0"/>
            </w:pPr>
            <w:r>
              <w:rPr>
                <w:rStyle w:val="row-content"/>
                <w:color w:val="244061"/>
              </w:rPr>
              <w:t xml:space="preserve">       </w:t>
            </w:r>
            <w:hyperlink w:history="true" r:id="R8aca71df9681486a">
              <w:r>
                <w:rPr>
                  <w:rStyle w:val="Hyperlink"/>
                  <w:color w:val="244061"/>
                </w:rPr>
                <w:t xml:space="preserve">AIHW Data Quality Statements</w:t>
              </w:r>
            </w:hyperlink>
            <w:r>
              <w:rPr>
                <w:rStyle w:val="row-content"/>
                <w:color w:val="244061"/>
              </w:rPr>
              <w:t xml:space="preserve">, Superseded 23/11/2022</w:t>
            </w:r>
          </w:p>
          <w:p>
            <w:r>
              <w:br/>
            </w:r>
          </w:p>
        </w:tc>
      </w:tr>
    </w:tbl>
    <w:p>
      <w:r>
        <w:br/>
      </w:r>
    </w:p>
    <w:sectPr>
      <w:footerReference xmlns:r="http://schemas.openxmlformats.org/officeDocument/2006/relationships" w:type="default" r:id="R61096e673db545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731009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77b0fc703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96e673db545cb" /><Relationship Type="http://schemas.openxmlformats.org/officeDocument/2006/relationships/header" Target="/word/header1.xml" Id="R89f527dc54de4343" /><Relationship Type="http://schemas.openxmlformats.org/officeDocument/2006/relationships/settings" Target="/word/settings.xml" Id="R7ecaa6f5dcb64814" /><Relationship Type="http://schemas.openxmlformats.org/officeDocument/2006/relationships/styles" Target="/word/styles.xml" Id="R3d5a24e90f2b45a1" /><Relationship Type="http://schemas.openxmlformats.org/officeDocument/2006/relationships/hyperlink" Target="https://meteor.aihw.gov.au/RegistrationAuthority/5" TargetMode="External" Id="R542f3f5704814fdb" /><Relationship Type="http://schemas.openxmlformats.org/officeDocument/2006/relationships/numbering" Target="/word/numbering.xml" Id="R97c19f0377744ea0" /><Relationship Type="http://schemas.openxmlformats.org/officeDocument/2006/relationships/hyperlink" Target="https://www.legislation.gov.au/Series/C2004A03450" TargetMode="External" Id="R48a8b09816634260" /><Relationship Type="http://schemas.openxmlformats.org/officeDocument/2006/relationships/hyperlink" Target="https://www.aihw.gov.au/about-us/our-governance" TargetMode="External" Id="Ref7efafd259547c8" /><Relationship Type="http://schemas.openxmlformats.org/officeDocument/2006/relationships/hyperlink" Target="https://www.legislation.gov.au/Series/C2004A03712" TargetMode="External" Id="R29ee423fbabd4ee2" /><Relationship Type="http://schemas.openxmlformats.org/officeDocument/2006/relationships/hyperlink" Target="http://www.aihw.gov.au/" TargetMode="External" Id="R453c2f040e2349bd" /><Relationship Type="http://schemas.openxmlformats.org/officeDocument/2006/relationships/hyperlink" Target="https://www.aihw.gov.au/reports-statistics/health-welfare-services/housing-assistance/overview" TargetMode="External" Id="R109f8414962e42d9" /><Relationship Type="http://schemas.openxmlformats.org/officeDocument/2006/relationships/hyperlink" Target="http://www.pc.gov.au/research/ongoing/report-on-government-services" TargetMode="External" Id="Rfb54fd35726a4296" /><Relationship Type="http://schemas.openxmlformats.org/officeDocument/2006/relationships/hyperlink" Target="https://www.aihw.gov.au/our-services/data-on-request" TargetMode="External" Id="Radf1bb17d58140eb" /><Relationship Type="http://schemas.openxmlformats.org/officeDocument/2006/relationships/hyperlink" Target="mailto:info@aihw.gov.au" TargetMode="External" Id="R188a7ec1fe374c74" /><Relationship Type="http://schemas.openxmlformats.org/officeDocument/2006/relationships/hyperlink" Target="https://meteor.aihw.gov.au/content/711016" TargetMode="External" Id="R0bf16e8867f84adb" /><Relationship Type="http://schemas.openxmlformats.org/officeDocument/2006/relationships/hyperlink" Target="https://meteor.aihw.gov.au/content/720628" TargetMode="External" Id="Rd1835b11bfd2425b" /><Relationship Type="http://schemas.openxmlformats.org/officeDocument/2006/relationships/hyperlink" Target="https://meteor.aihw.gov.au/RegistrationAuthority/5" TargetMode="External" Id="Rdd899c9a1ae24b60" /><Relationship Type="http://schemas.openxmlformats.org/officeDocument/2006/relationships/hyperlink" Target="https://meteor.aihw.gov.au/content/749351" TargetMode="External" Id="R44b88d0c270d4b0e" /><Relationship Type="http://schemas.openxmlformats.org/officeDocument/2006/relationships/hyperlink" Target="https://meteor.aihw.gov.au/RegistrationAuthority/5" TargetMode="External" Id="R8aca71df9681486a" /></Relationships>
</file>

<file path=word/_rels/header1.xml.rels>&#65279;<?xml version="1.0" encoding="utf-8"?><Relationships xmlns="http://schemas.openxmlformats.org/package/2006/relationships"><Relationship Type="http://schemas.openxmlformats.org/officeDocument/2006/relationships/image" Target="/media/image.png" Id="Rf4377b0fc70347ad" /></Relationships>
</file>