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e930973de748c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 National Community Mental Health Care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 National Community Mental Health Care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cd08e768d4991">
              <w:r>
                <w:rPr>
                  <w:rStyle w:val="Hyperlink"/>
                  <w:color w:val="244061"/>
                </w:rPr>
                <w:t xml:space="preserve">AIHW Data Quality Statements</w:t>
              </w:r>
            </w:hyperlink>
            <w:r>
              <w:rPr>
                <w:rStyle w:val="row-content"/>
                <w:color w:val="244061"/>
              </w:rPr>
              <w:t xml:space="preserve">, Superseded 14/10/2021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5.2% of contacts in the 2018–19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6bc06ac83d914f37">
              <w:r>
                <w:rPr>
                  <w:rStyle w:val="Hyperlink"/>
                </w:rPr>
                <w:t xml:space="preserve">link</w:t>
              </w:r>
            </w:hyperlink>
            <w:r>
              <w:rPr>
                <w:rStyle w:val="row-content-rich-text"/>
              </w:rPr>
              <w:t xml:space="preserve">). The NCMHCD includes data for each year from 2000–01 to 2018–19.</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840573e1e2f4f79">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f24907eee974a7a">
              <w:r>
                <w:rPr>
                  <w:rStyle w:val="Hyperlink"/>
                </w:rPr>
                <w:t xml:space="preserve">Australian Institute of Health and Welfare Act 1987</w:t>
              </w:r>
            </w:hyperlink>
            <w:r>
              <w:rPr>
                <w:rStyle w:val="row-content-rich-text"/>
              </w:rPr>
              <w:t xml:space="preserve">, in conjunction with compliance to the </w:t>
            </w:r>
            <w:hyperlink w:history="true" r:id="R954a7ccef2084977">
              <w:r>
                <w:rPr>
                  <w:rStyle w:val="Hyperlink"/>
                </w:rPr>
                <w:t xml:space="preserve">Privacy Act 1988 </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5a9035a320e4c8d">
              <w:r>
                <w:rPr>
                  <w:rStyle w:val="Hyperlink"/>
                </w:rPr>
                <w:t xml:space="preserve">www.aihw.gov.au</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040b3e88b55d40aa">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0c28ef8130f24bfa">
              <w:r>
                <w:rPr>
                  <w:rStyle w:val="Hyperlink"/>
                </w:rPr>
                <w:t xml:space="preserve">link</w:t>
              </w:r>
            </w:hyperlink>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dcd62bcd8f8c460e">
              <w:r>
                <w:rPr>
                  <w:rStyle w:val="Hyperlink"/>
                </w:rPr>
                <w:t xml:space="preserve">link</w:t>
              </w:r>
            </w:hyperlink>
            <w:r>
              <w:rPr>
                <w:rStyle w:val="row-content-rich-text"/>
              </w:rPr>
              <w:t xml:space="preserve">), as specified by the CMHC NMDS (see ‘Interpretability’ section below). Publication of state and territory level data from the NCMHCD is subject to approval from state and territory health authorities.</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4e034dcfb4fd4481">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2018–19, that is, service contacts provided between 1 July 2018 and 30 June 2019. Data for the 2018–19 reference period were supplied to the AIHW at the end of January 2020.</w:t>
            </w:r>
          </w:p>
          <w:p>
            <w:pPr/>
            <w:r>
              <w:rPr>
                <w:rStyle w:val="row-content-rich-text"/>
              </w:rPr>
              <w:t xml:space="preserve">The AIHW publishes data from the NCMHCD in </w:t>
            </w:r>
            <w:hyperlink w:history="true" r:id="Rb733372189384b37">
              <w:r>
                <w:rPr>
                  <w:rStyle w:val="Hyperlink"/>
                  <w:i/>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(see </w:t>
            </w:r>
            <w:hyperlink w:history="true" r:id="R590492700d3d41f6">
              <w:r>
                <w:rPr>
                  <w:rStyle w:val="Hyperlink"/>
                </w:rPr>
                <w:t xml:space="preserve">link</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e48df2362d8642d8">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2018–19).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90–100% of in-scope community mental health care services provided contact data to the collection. Overall service contact data coverage for jurisdictions was estimated to be between 85–100%. Most states reported small collection gaps that are being addressed.</w:t>
            </w:r>
          </w:p>
          <w:p>
            <w:pPr>
              <w:spacing w:after="160"/>
            </w:pPr>
            <w:r>
              <w:rPr>
                <w:rStyle w:val="row-content-rich-text"/>
              </w:rPr>
              <w:t xml:space="preserve">New South Wales reported that the coverage of the Justice Health data collection continues to be impacted by the introduction of a new system. New South Wales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Northern Territory reported that an increase in the number of errors during data input affected reporting of some variables.</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5.2% of contacts in the 2018–19 NCMHCD.</w:t>
            </w:r>
          </w:p>
          <w:p>
            <w:pPr>
              <w:spacing w:after="160"/>
            </w:pPr>
            <w:r>
              <w:rPr>
                <w:rStyle w:val="row-content-rich-text"/>
              </w:rPr>
              <w:t xml:space="preserve">States and territories provided additional information on the quality of the Indigenous status data for 2018–19 as follows:</w:t>
            </w:r>
          </w:p>
          <w:p>
            <w:pPr>
              <w:pStyle w:val="ListParagraph"/>
              <w:numPr>
                <w:ilvl w:val="0"/>
                <w:numId w:val="3"/>
              </w:numPr>
            </w:pPr>
            <w:r>
              <w:rPr>
                <w:rStyle w:val="row-content-rich-text"/>
              </w:rPr>
              <w:t xml:space="preserve">All states and territories considered the quality of their Indigenous status data to be acceptable.</w:t>
            </w:r>
          </w:p>
          <w:p>
            <w:pPr>
              <w:pStyle w:val="ListParagraph"/>
              <w:numPr>
                <w:ilvl w:val="0"/>
                <w:numId w:val="3"/>
              </w:numPr>
            </w:pP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pStyle w:val="ListParagraph"/>
              <w:numPr>
                <w:ilvl w:val="0"/>
                <w:numId w:val="3"/>
              </w:numPr>
            </w:pP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pStyle w:val="ListParagraph"/>
              <w:numPr>
                <w:ilvl w:val="0"/>
                <w:numId w:val="3"/>
              </w:numPr>
            </w:pPr>
            <w:r>
              <w:rPr>
                <w:rStyle w:val="row-content-rich-text"/>
              </w:rPr>
              <w:t xml:space="preserve">Tasmania reported the quality of the Indigenous status data acceptable, requiring some improvement.</w:t>
            </w:r>
          </w:p>
          <w:p>
            <w:pPr>
              <w:pStyle w:val="ListParagraph"/>
              <w:numPr>
                <w:ilvl w:val="0"/>
                <w:numId w:val="3"/>
              </w:numPr>
            </w:pPr>
            <w:r>
              <w:rPr>
                <w:rStyle w:val="row-content-rich-text"/>
              </w:rPr>
              <w:t xml:space="preserve">The Northern Territory considered the quality of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2018–19 metadata specifications:</w:t>
            </w:r>
          </w:p>
          <w:p>
            <w:pPr>
              <w:spacing w:after="160"/>
            </w:pPr>
            <w:r>
              <w:rPr>
                <w:rStyle w:val="row-content-rich-text"/>
              </w:rPr>
              <w:t xml:space="preserve">The data element </w:t>
            </w:r>
            <w:r>
              <w:rPr>
                <w:rStyle w:val="row-content-rich-text"/>
                <w:i/>
              </w:rPr>
              <w:t xml:space="preserve">Person—sex </w:t>
            </w:r>
            <w:r>
              <w:rPr>
                <w:rStyle w:val="row-content-rich-text"/>
              </w:rPr>
              <w:t xml:space="preserve">was updated with the value=3 changed from ‘Intersex or indeterminate’ to ‘Other’.</w:t>
            </w:r>
          </w:p>
          <w:p>
            <w:pPr>
              <w:spacing w:after="160"/>
            </w:pPr>
            <w:r>
              <w:rPr>
                <w:rStyle w:val="row-content-rich-text"/>
              </w:rPr>
              <w:t xml:space="preserve">The data element </w:t>
            </w:r>
            <w:r>
              <w:rPr>
                <w:rStyle w:val="row-content-rich-text"/>
                <w:i/>
              </w:rPr>
              <w:t xml:space="preserve">Mental health service contact—patient/client participation indicator, yes/no/unknown code N</w:t>
            </w:r>
            <w:r>
              <w:rPr>
                <w:rStyle w:val="row-content-rich-text"/>
              </w:rPr>
              <w:t xml:space="preserve"> was updated with the addition of supplementary value 8 representing ‘Unknown’ values.</w:t>
            </w:r>
          </w:p>
          <w:p>
            <w:pPr>
              <w:spacing w:after="160"/>
            </w:pPr>
            <w:r>
              <w:rPr>
                <w:rStyle w:val="row-content-rich-text"/>
              </w:rPr>
              <w:t xml:space="preserve">The data element </w:t>
            </w:r>
            <w:r>
              <w:rPr>
                <w:rStyle w:val="row-content-rich-text"/>
                <w:i/>
              </w:rPr>
              <w:t xml:space="preserve">Mental health service contact—session type, code N</w:t>
            </w:r>
            <w:r>
              <w:rPr>
                <w:rStyle w:val="row-content-rich-text"/>
              </w:rPr>
              <w:t xml:space="preserve"> was updated with the addition of supplementary value 8 representing ‘Unknown’ values.</w:t>
            </w:r>
          </w:p>
          <w:p>
            <w:pPr>
              <w:spacing w:after="160"/>
            </w:pPr>
            <w:r>
              <w:rPr>
                <w:rStyle w:val="row-content-rich-text"/>
              </w:rPr>
              <w:t xml:space="preserve">The property definition of the data element </w:t>
            </w:r>
            <w:r>
              <w:rPr>
                <w:rStyle w:val="row-content-rich-text"/>
                <w:i/>
              </w:rPr>
              <w:t xml:space="preserve">Specialised mental health service—target population group, code N</w:t>
            </w:r>
            <w:r>
              <w:rPr>
                <w:rStyle w:val="row-content-rich-text"/>
              </w:rPr>
              <w:t xml:space="preserve"> was updated.</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Tasmania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5"/>
              </w:numPr>
            </w:pPr>
            <w:r>
              <w:rPr>
                <w:rStyle w:val="row-content-rich-text"/>
              </w:rPr>
              <w:t xml:space="preserve">The Australian Capital Territory, New South Wales, Victoria, Queensland and the Northern Territory, report that data are submitted in accordance with the ICD-10-AM 10th edition.</w:t>
            </w:r>
          </w:p>
          <w:p>
            <w:pPr>
              <w:pStyle w:val="ListParagraph"/>
              <w:numPr>
                <w:ilvl w:val="0"/>
                <w:numId w:val="5"/>
              </w:numPr>
            </w:pPr>
            <w:r>
              <w:rPr>
                <w:rStyle w:val="row-content-rich-text"/>
              </w:rPr>
              <w:t xml:space="preserve">South Australia used a combination of ICD-10-AM 10th Edition and ICD-10-AM Mental Health Manual 1st Edition.</w:t>
            </w:r>
          </w:p>
          <w:p>
            <w:pPr>
              <w:pStyle w:val="ListParagraph"/>
              <w:numPr>
                <w:ilvl w:val="0"/>
                <w:numId w:val="5"/>
              </w:numPr>
            </w:pPr>
            <w:r>
              <w:rPr>
                <w:rStyle w:val="row-content-rich-text"/>
              </w:rPr>
              <w:t xml:space="preserve">Tasmania reported using ICD-10-AM 10th Edition where possible.</w:t>
            </w:r>
          </w:p>
          <w:p>
            <w:pPr>
              <w:pStyle w:val="ListParagraph"/>
              <w:numPr>
                <w:ilvl w:val="0"/>
                <w:numId w:val="5"/>
              </w:numPr>
            </w:pPr>
            <w:r>
              <w:rPr>
                <w:rStyle w:val="row-content-rich-text"/>
              </w:rPr>
              <w:t xml:space="preserve">Western Australia reported that current statewide mental health information systems use ICD-10-AM 10th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2018–19, New South Wales reported reduced data coverage due to the introduction of a new system in the Justice Health network.</w:t>
            </w:r>
          </w:p>
          <w:p>
            <w:pPr>
              <w:spacing w:after="160"/>
            </w:pPr>
            <w:r>
              <w:rPr>
                <w:rStyle w:val="row-content-rich-text"/>
              </w:rPr>
              <w:t xml:space="preserve">New South Wales reported that apparent growth in Involuntary legal status for 2018–19 is generally a reflection of poorer data quality in previous years, and that a state led focus on improving data quality around legal status and other key items has resulted in more accurate recording of this item in 2018–19. </w:t>
            </w:r>
          </w:p>
          <w:p>
            <w:pPr/>
            <w:r>
              <w:rPr>
                <w:rStyle w:val="row-content-rich-text"/>
              </w:rPr>
              <w:t xml:space="preserve">For 2018–19, Tasmania reported that industrial action from September 2018 resulted in under reporting of contacts, due to reduced coverage of in-scope services supplying data for some of the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fe00ae915f4ef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8b7e5eb01467b">
              <w:r>
                <w:rPr>
                  <w:rStyle w:val="Hyperlink"/>
                </w:rPr>
                <w:t xml:space="preserve">Community mental health care NMDS 2017–18: National Community Mental Health Care Database, 2019; Quality Statement</w:t>
              </w:r>
            </w:hyperlink>
          </w:p>
          <w:p>
            <w:pPr>
              <w:spacing w:before="0" w:after="0"/>
            </w:pPr>
            <w:r>
              <w:rPr>
                <w:rStyle w:val="row-content"/>
                <w:color w:val="244061"/>
              </w:rPr>
              <w:t xml:space="preserve">       </w:t>
            </w:r>
            <w:hyperlink w:history="true" r:id="Re943c35bc6634d9a">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Has been superseded by </w:t>
            </w:r>
            <w:hyperlink w:history="true" r:id="R57642d241db04d3a">
              <w:r>
                <w:rPr>
                  <w:rStyle w:val="Hyperlink"/>
                </w:rPr>
                <w:t xml:space="preserve">Community mental health care NMDS 2019–20: National Community Mental Health Care Database, 2021; Quality Statement</w:t>
              </w:r>
            </w:hyperlink>
          </w:p>
          <w:p>
            <w:pPr>
              <w:spacing w:before="0" w:after="0"/>
            </w:pPr>
            <w:r>
              <w:rPr>
                <w:rStyle w:val="row-content"/>
                <w:color w:val="244061"/>
              </w:rPr>
              <w:t xml:space="preserve">       </w:t>
            </w:r>
            <w:hyperlink w:history="true" r:id="Ra5c7c45d0b384d34">
              <w:r>
                <w:rPr>
                  <w:rStyle w:val="Hyperlink"/>
                  <w:color w:val="244061"/>
                </w:rPr>
                <w:t xml:space="preserve">AIHW Data Quality Statements</w:t>
              </w:r>
            </w:hyperlink>
            <w:r>
              <w:rPr>
                <w:rStyle w:val="row-content"/>
                <w:color w:val="244061"/>
              </w:rPr>
              <w:t xml:space="preserve">, Superseded 10/11/2022</w:t>
            </w:r>
          </w:p>
          <w:p>
            <w:r>
              <w:br/>
            </w:r>
            <w:r>
              <w:rPr>
                <w:rStyle w:val="row-content"/>
              </w:rPr>
              <w:t xml:space="preserve">See also </w:t>
            </w:r>
            <w:hyperlink w:history="true" r:id="R522ed41a75cd48f0">
              <w:r>
                <w:rPr>
                  <w:rStyle w:val="Hyperlink"/>
                </w:rPr>
                <w:t xml:space="preserve">Community mental health care NMDS 2018–19</w:t>
              </w:r>
            </w:hyperlink>
          </w:p>
          <w:p>
            <w:pPr>
              <w:spacing w:before="0" w:after="0"/>
            </w:pPr>
            <w:r>
              <w:rPr>
                <w:rStyle w:val="row-content"/>
                <w:color w:val="244061"/>
              </w:rPr>
              <w:t xml:space="preserve">       </w:t>
            </w:r>
            <w:hyperlink w:history="true" r:id="R7fe0a9a9626745b7">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a68ebcb5d606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730009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faa9e8c64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ebcb5d6064ce6" /><Relationship Type="http://schemas.openxmlformats.org/officeDocument/2006/relationships/header" Target="/word/header1.xml" Id="Rf3f2f3c5534c4f89" /><Relationship Type="http://schemas.openxmlformats.org/officeDocument/2006/relationships/settings" Target="/word/settings.xml" Id="R65e06665f0904e3e" /><Relationship Type="http://schemas.openxmlformats.org/officeDocument/2006/relationships/styles" Target="/word/styles.xml" Id="Rda1d33042cf249e7" /><Relationship Type="http://schemas.openxmlformats.org/officeDocument/2006/relationships/hyperlink" Target="https://meteor.aihw.gov.au/RegistrationAuthority/5" TargetMode="External" Id="R52fcd08e768d4991" /><Relationship Type="http://schemas.openxmlformats.org/officeDocument/2006/relationships/numbering" Target="/word/numbering.xml" Id="Rd4d4c2434d284d69" /><Relationship Type="http://schemas.openxmlformats.org/officeDocument/2006/relationships/hyperlink" Target="https://meteor.aihw.gov.au/content/677802" TargetMode="External" Id="R6bc06ac83d914f37" /><Relationship Type="http://schemas.openxmlformats.org/officeDocument/2006/relationships/hyperlink" Target="https://www.legislation.gov.au/Series/C2004A03450" TargetMode="External" Id="R5840573e1e2f4f79" /><Relationship Type="http://schemas.openxmlformats.org/officeDocument/2006/relationships/hyperlink" Target="https://www.legislation.gov.au/Series/C2004A03450" TargetMode="External" Id="Raf24907eee974a7a" /><Relationship Type="http://schemas.openxmlformats.org/officeDocument/2006/relationships/hyperlink" Target="https://www.legislation.gov.au/Series/C2004A03712" TargetMode="External" Id="R954a7ccef2084977" /><Relationship Type="http://schemas.openxmlformats.org/officeDocument/2006/relationships/hyperlink" Target="http://www.aihw.gov.au/" TargetMode="External" Id="R25a9035a320e4c8d" /><Relationship Type="http://schemas.openxmlformats.org/officeDocument/2006/relationships/hyperlink" Target="https://meteor.aihw.gov.au/content/182135" TargetMode="External" Id="R040b3e88b55d40aa" /><Relationship Type="http://schemas.openxmlformats.org/officeDocument/2006/relationships/hyperlink" Target="https://meteor.aihw.gov.au/content/677892" TargetMode="External" Id="R0c28ef8130f24bfa" /><Relationship Type="http://schemas.openxmlformats.org/officeDocument/2006/relationships/hyperlink" Target="https://meteor.aihw.gov.au/content/182135" TargetMode="External" Id="Rdcd62bcd8f8c460e" /><Relationship Type="http://schemas.openxmlformats.org/officeDocument/2006/relationships/hyperlink" Target="https://meteor.aihw.gov.au/content/677892" TargetMode="External" Id="R4e034dcfb4fd4481" /><Relationship Type="http://schemas.openxmlformats.org/officeDocument/2006/relationships/hyperlink" Target="https://www.aihw.gov.au/reports/mental-health-services/mental-health-services-in-australia/report-contents/summary" TargetMode="External" Id="Rb733372189384b37" /><Relationship Type="http://schemas.openxmlformats.org/officeDocument/2006/relationships/hyperlink" Target="https://www.aihw.gov.au/reports/mental-health-services/mental-health-services-in-australia/report-contents/summary" TargetMode="External" Id="R590492700d3d41f6" /><Relationship Type="http://schemas.openxmlformats.org/officeDocument/2006/relationships/hyperlink" Target="https://meteor.aihw.gov.au/content/181162" TargetMode="External" Id="Re48df2362d8642d8" /><Relationship Type="http://schemas.openxmlformats.org/officeDocument/2006/relationships/hyperlink" Target="https://meteor.aihw.gov.au/content/246013" TargetMode="External" Id="R41fe00ae915f4efa" /><Relationship Type="http://schemas.openxmlformats.org/officeDocument/2006/relationships/hyperlink" Target="https://meteor.aihw.gov.au/content/719722" TargetMode="External" Id="R1278b7e5eb01467b" /><Relationship Type="http://schemas.openxmlformats.org/officeDocument/2006/relationships/hyperlink" Target="https://meteor.aihw.gov.au/RegistrationAuthority/5" TargetMode="External" Id="Re943c35bc6634d9a" /><Relationship Type="http://schemas.openxmlformats.org/officeDocument/2006/relationships/hyperlink" Target="https://meteor.aihw.gov.au/content/742292" TargetMode="External" Id="R57642d241db04d3a" /><Relationship Type="http://schemas.openxmlformats.org/officeDocument/2006/relationships/hyperlink" Target="https://meteor.aihw.gov.au/RegistrationAuthority/5" TargetMode="External" Id="Ra5c7c45d0b384d34" /><Relationship Type="http://schemas.openxmlformats.org/officeDocument/2006/relationships/hyperlink" Target="https://meteor.aihw.gov.au/content/677802" TargetMode="External" Id="R522ed41a75cd48f0" /><Relationship Type="http://schemas.openxmlformats.org/officeDocument/2006/relationships/hyperlink" Target="https://meteor.aihw.gov.au/RegistrationAuthority/12" TargetMode="External" Id="R7fe0a9a9626745b7" /></Relationships>
</file>

<file path=word/_rels/header1.xml.rels>&#65279;<?xml version="1.0" encoding="utf-8"?><Relationships xmlns="http://schemas.openxmlformats.org/package/2006/relationships"><Relationship Type="http://schemas.openxmlformats.org/officeDocument/2006/relationships/image" Target="/media/image.png" Id="Rffdfaa9e8c6444e6" /></Relationships>
</file>