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08646fe92743dd"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2018–19: National Community Mental Health Care Database,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2018–19: National Community Mental Health Care Database,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89696dbe824371">
              <w:r>
                <w:rPr>
                  <w:rStyle w:val="Hyperlink"/>
                  <w:color w:val="244061"/>
                </w:rPr>
                <w:t xml:space="preserve">AIHW Data Quality Statements</w:t>
              </w:r>
            </w:hyperlink>
            <w:r>
              <w:rPr>
                <w:rStyle w:val="row-content"/>
                <w:color w:val="244061"/>
              </w:rPr>
              <w:t xml:space="preserve">, Superseded 14/10/2021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w:t>
            </w:r>
          </w:p>
          <w:p>
            <w:pPr>
              <w:pStyle w:val="ListParagraph"/>
              <w:numPr>
                <w:ilvl w:val="0"/>
                <w:numId w:val="2"/>
              </w:numPr>
            </w:pPr>
            <w:r>
              <w:rPr>
                <w:rStyle w:val="row-content-rich-text"/>
              </w:rPr>
              <w:t xml:space="preserve">There is some variation in the types of service contacts included in the data. For example, some states or territories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states and territories consider the quality of Indigenous status data to be acceptable, most acknowledge that further improvement is required. Indigenous status is missing for 5.2% of contacts in the 2018–19 NCMHCD.</w:t>
            </w:r>
          </w:p>
          <w:p>
            <w:pPr>
              <w:pStyle w:val="ListParagraph"/>
              <w:numPr>
                <w:ilvl w:val="0"/>
                <w:numId w:val="2"/>
              </w:numPr>
            </w:pPr>
            <w:r>
              <w:rPr>
                <w:rStyle w:val="row-content-rich-text"/>
              </w:rPr>
              <w:t xml:space="preserve">Data are reported by the jurisdiction that delivered the service and therefore may include people receiving services in one jurisdiction who reside in another. These cross-border flows are particularly relevant when interpreting ACT remoteness data.</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43afb8ba86414889">
              <w:r>
                <w:rPr>
                  <w:rStyle w:val="Hyperlink"/>
                </w:rPr>
                <w:t xml:space="preserve">link</w:t>
              </w:r>
            </w:hyperlink>
            <w:r>
              <w:rPr>
                <w:rStyle w:val="row-content-rich-text"/>
              </w:rPr>
              <w:t xml:space="preserve">). The NCMHCD includes data for each year from 2000–01 to 2018–19.</w:t>
            </w:r>
          </w:p>
          <w:p>
            <w:pPr>
              <w:spacing w:after="160"/>
            </w:pPr>
            <w:r>
              <w:rPr>
                <w:rStyle w:val="row-content-rich-text"/>
              </w:rPr>
              <w:t xml:space="preserve"> </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1a18a95d623b49f4">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db74a52a60dd4102">
              <w:r>
                <w:rPr>
                  <w:rStyle w:val="Hyperlink"/>
                </w:rPr>
                <w:t xml:space="preserve">Australian Institute of Health and Welfare Act 1987</w:t>
              </w:r>
            </w:hyperlink>
            <w:r>
              <w:rPr>
                <w:rStyle w:val="row-content-rich-text"/>
              </w:rPr>
              <w:t xml:space="preserve">, in conjunction with compliance to the </w:t>
            </w:r>
            <w:hyperlink w:history="true" r:id="R3aca71659ef14351">
              <w:r>
                <w:rPr>
                  <w:rStyle w:val="Hyperlink"/>
                </w:rPr>
                <w:t xml:space="preserve">Privacy Act 1988 </w:t>
              </w:r>
            </w:hyperlink>
            <w:r>
              <w:rPr>
                <w:rStyle w:val="row-content-rich-text"/>
              </w:rPr>
              <w:t xml:space="preserve">(Cwlth),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12a1ea8df374752">
              <w:r>
                <w:rPr>
                  <w:rStyle w:val="Hyperlink"/>
                </w:rPr>
                <w:t xml:space="preserve">www.aihw.gov.au</w:t>
              </w:r>
            </w:hyperlink>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c9fa5484ba824135">
              <w:r>
                <w:rPr>
                  <w:rStyle w:val="Hyperlink"/>
                </w:rPr>
                <w:t xml:space="preserve">link</w:t>
              </w:r>
            </w:hyperlink>
            <w:r>
              <w:rPr>
                <w:rStyle w:val="row-content-rich-text"/>
              </w:rPr>
              <w:t xml:space="preserve">), as specified by the CMHC NMDS (see ‘Interpretability’ section below). Publication of state and territory level data from the NCMHCD is subject to approval from state and territory health authorities.</w:t>
            </w:r>
          </w:p>
          <w:p>
            <w:pPr>
              <w:spacing w:after="160"/>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8ce0166a3e124133">
              <w:r>
                <w:rPr>
                  <w:rStyle w:val="Hyperlink"/>
                </w:rPr>
                <w:t xml:space="preserve">link</w:t>
              </w:r>
            </w:hyperlink>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d4ef70d4484b422a">
              <w:r>
                <w:rPr>
                  <w:rStyle w:val="Hyperlink"/>
                </w:rPr>
                <w:t xml:space="preserve">link</w:t>
              </w:r>
            </w:hyperlink>
            <w:r>
              <w:rPr>
                <w:rStyle w:val="row-content-rich-text"/>
              </w:rPr>
              <w:t xml:space="preserve">), as specified by the CMHC NMDS (see ‘Interpretability’ section below). Publication of state and territory level data from the NCMHCD is subject to approval from state and territory health authorities.</w:t>
            </w:r>
          </w:p>
          <w:p>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94d108077ca7495b">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2018–19, that is, service contacts provided between 1 July 2018 and 30 June 2019. Data for the 2018–19 reference period were supplied to the AIHW at the end of January 2020.</w:t>
            </w:r>
          </w:p>
          <w:p>
            <w:pPr/>
            <w:r>
              <w:rPr>
                <w:rStyle w:val="row-content-rich-text"/>
              </w:rPr>
              <w:t xml:space="preserve">The AIHW publishes data from the NCMHCD in </w:t>
            </w:r>
            <w:hyperlink w:history="true" r:id="R1f26098546294e8c">
              <w:r>
                <w:rPr>
                  <w:rStyle w:val="Hyperlink"/>
                  <w:i/>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(see </w:t>
            </w:r>
            <w:hyperlink w:history="true" r:id="R581e51265cdb4c40">
              <w:r>
                <w:rPr>
                  <w:rStyle w:val="Hyperlink"/>
                </w:rPr>
                <w:t xml:space="preserve">link</w:t>
              </w:r>
            </w:hyperlink>
            <w:r>
              <w:rPr>
                <w:rStyle w:val="row-content-rich-text"/>
              </w:rPr>
              <w:t xml:space="preserve">).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w:t>
            </w:r>
          </w:p>
          <w:p>
            <w:pPr>
              <w:spacing w:after="160"/>
            </w:pPr>
            <w:r>
              <w:rPr>
                <w:rStyle w:val="row-content-rich-text"/>
              </w:rPr>
              <w:t xml:space="preserve">METeOR can be accessed on the AIHW website:</w:t>
            </w:r>
          </w:p>
          <w:p>
            <w:hyperlink w:history="true" r:id="Re238026f608b453d">
              <w:r>
                <w:rPr>
                  <w:rStyle w:val="Hyperlink"/>
                </w:rPr>
                <w:t xml:space="preserve">http://meteor.aihw.gov.au</w:t>
              </w:r>
            </w:hyperlink>
          </w:p>
          <w:p>
            <w:pPr/>
            <w:r>
              <w:rPr>
                <w:rStyle w:val="row-content-rich-text"/>
              </w:rPr>
              <w:t xml:space="preserve">Data published annually in Mental health services in Australia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2018–19).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All states estimate that 90–100% of in-scope community mental health care services provided contact data to the collection. Overall service contact data coverage for jurisdictions was estimated to be between 85–100%. Most states reported small collection gaps that are being addressed.</w:t>
            </w:r>
          </w:p>
          <w:p>
            <w:pPr>
              <w:spacing w:after="160"/>
            </w:pPr>
            <w:r>
              <w:rPr>
                <w:rStyle w:val="row-content-rich-text"/>
              </w:rPr>
              <w:t xml:space="preserve">New South Wales reported that the coverage of the Justice Health data collection continues to be impacted by the introduction of a new system. New South Wales reported that there are some variations in the way data is collected between the local health districts.</w:t>
            </w:r>
          </w:p>
          <w:p>
            <w:pPr>
              <w:spacing w:after="160"/>
            </w:pPr>
            <w:r>
              <w:rPr>
                <w:rStyle w:val="row-content-rich-text"/>
              </w:rPr>
              <w:t xml:space="preserve">Tasmania stated that forensic community mental health contacts are not reported due to ongoing challenges with the information system for the forensic service unit.</w:t>
            </w:r>
          </w:p>
          <w:p>
            <w:pPr>
              <w:spacing w:after="160"/>
            </w:pPr>
            <w:r>
              <w:rPr>
                <w:rStyle w:val="row-content-rich-text"/>
              </w:rPr>
              <w:t xml:space="preserve">South Australia reported that a small percentage of contacts may not be recorded for services such as consultation-liaison type services, i.e., some hospital-based ambulatory mental health care services.</w:t>
            </w:r>
          </w:p>
          <w:p>
            <w:pPr>
              <w:spacing w:after="160"/>
            </w:pPr>
            <w:r>
              <w:rPr>
                <w:rStyle w:val="row-content-rich-text"/>
              </w:rPr>
              <w:t xml:space="preserve">Victoria reported that about 5% of contacts were excluded from the submission as a unique client identifier was unable to be generated for these unregistered clients.</w:t>
            </w:r>
          </w:p>
          <w:p>
            <w:pPr>
              <w:spacing w:after="160"/>
            </w:pPr>
            <w:r>
              <w:rPr>
                <w:rStyle w:val="row-content-rich-text"/>
              </w:rPr>
              <w:t xml:space="preserve">Northern Territory reported that an increase in the number of errors during data input affected reporting of some variables.</w:t>
            </w:r>
          </w:p>
          <w:p>
            <w:pPr>
              <w:spacing w:after="160"/>
            </w:pPr>
            <w:r>
              <w:rPr>
                <w:rStyle w:val="row-content-rich-text"/>
              </w:rPr>
              <w:t xml:space="preserve"> </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5.2% of contacts in the 2018–19 NCMHCD.</w:t>
            </w:r>
          </w:p>
          <w:p>
            <w:pPr>
              <w:spacing w:after="160"/>
            </w:pPr>
            <w:r>
              <w:rPr>
                <w:rStyle w:val="row-content-rich-text"/>
              </w:rPr>
              <w:t xml:space="preserve">States and territories provided additional information on the quality of the Indigenous status data for 2018–19 as follows:</w:t>
            </w:r>
          </w:p>
          <w:p>
            <w:pPr>
              <w:pStyle w:val="ListParagraph"/>
              <w:numPr>
                <w:ilvl w:val="0"/>
                <w:numId w:val="3"/>
              </w:numPr>
            </w:pPr>
            <w:r>
              <w:rPr>
                <w:rStyle w:val="row-content-rich-text"/>
              </w:rPr>
              <w:t xml:space="preserve">All states and territories considered the quality of their Indigenous status data to be acceptable.</w:t>
            </w:r>
          </w:p>
          <w:p>
            <w:pPr>
              <w:pStyle w:val="ListParagraph"/>
              <w:numPr>
                <w:ilvl w:val="0"/>
                <w:numId w:val="3"/>
              </w:numPr>
            </w:pPr>
            <w:r>
              <w:rPr>
                <w:rStyle w:val="row-content-rich-text"/>
              </w:rPr>
              <w:t xml:space="preserve">Victoria reported the quality of the Indigenous status data to be acceptable but that there continue to be areas for improvement based on the National best practice guidelines for collecting Indigenous status in health data sets.</w:t>
            </w:r>
          </w:p>
          <w:p>
            <w:pPr>
              <w:pStyle w:val="ListParagraph"/>
              <w:numPr>
                <w:ilvl w:val="0"/>
                <w:numId w:val="3"/>
              </w:numPr>
            </w:pPr>
            <w:r>
              <w:rPr>
                <w:rStyle w:val="row-content-rich-text"/>
              </w:rPr>
              <w:t xml:space="preserve">South Australia reported that the quality of Indigenous status data was acceptable, but that further investigation and follow-up was required for services with high rates of unknown/not stated Indigenous status.</w:t>
            </w:r>
          </w:p>
          <w:p>
            <w:pPr>
              <w:pStyle w:val="ListParagraph"/>
              <w:numPr>
                <w:ilvl w:val="0"/>
                <w:numId w:val="3"/>
              </w:numPr>
            </w:pPr>
            <w:r>
              <w:rPr>
                <w:rStyle w:val="row-content-rich-text"/>
              </w:rPr>
              <w:t xml:space="preserve">Tasmania reported the quality of the Indigenous status data acceptable, requiring some improvement.</w:t>
            </w:r>
          </w:p>
          <w:p>
            <w:pPr>
              <w:pStyle w:val="ListParagraph"/>
              <w:numPr>
                <w:ilvl w:val="0"/>
                <w:numId w:val="3"/>
              </w:numPr>
            </w:pPr>
            <w:r>
              <w:rPr>
                <w:rStyle w:val="row-content-rich-text"/>
              </w:rPr>
              <w:t xml:space="preserve">The Northern Territory considered the quality of Indigenous status data to be satisfactory.</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NCMHCD,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r>
              <w:rPr>
                <w:rStyle w:val="row-content-rich-text"/>
              </w:rPr>
              <w:t xml:space="preserve">Legislation governing the use of treatment orders differs between jurisdictions and comparisons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The following definitional changes occurred to the 2018–19 metadata specifications:</w:t>
            </w:r>
          </w:p>
          <w:p>
            <w:pPr>
              <w:spacing w:after="160"/>
            </w:pPr>
            <w:r>
              <w:rPr>
                <w:rStyle w:val="row-content-rich-text"/>
              </w:rPr>
              <w:t xml:space="preserve">The data element </w:t>
            </w:r>
            <w:r>
              <w:rPr>
                <w:rStyle w:val="row-content-rich-text"/>
                <w:i/>
              </w:rPr>
              <w:t xml:space="preserve">Person—sex </w:t>
            </w:r>
            <w:r>
              <w:rPr>
                <w:rStyle w:val="row-content-rich-text"/>
              </w:rPr>
              <w:t xml:space="preserve">was updated with the value=3 changed from ‘Intersex or indeterminate’ to ‘Other’.</w:t>
            </w:r>
          </w:p>
          <w:p>
            <w:pPr>
              <w:spacing w:after="160"/>
            </w:pPr>
            <w:r>
              <w:rPr>
                <w:rStyle w:val="row-content-rich-text"/>
              </w:rPr>
              <w:t xml:space="preserve">The data element </w:t>
            </w:r>
            <w:r>
              <w:rPr>
                <w:rStyle w:val="row-content-rich-text"/>
                <w:i/>
              </w:rPr>
              <w:t xml:space="preserve">Mental health service contact—patient/client participation indicator, yes/no/unknown code N</w:t>
            </w:r>
            <w:r>
              <w:rPr>
                <w:rStyle w:val="row-content-rich-text"/>
              </w:rPr>
              <w:t xml:space="preserve"> was updated with the addition of supplementary value 8 representing ‘Unknown’ values.</w:t>
            </w:r>
          </w:p>
          <w:p>
            <w:pPr>
              <w:spacing w:after="160"/>
            </w:pPr>
            <w:r>
              <w:rPr>
                <w:rStyle w:val="row-content-rich-text"/>
              </w:rPr>
              <w:t xml:space="preserve">The data element </w:t>
            </w:r>
            <w:r>
              <w:rPr>
                <w:rStyle w:val="row-content-rich-text"/>
                <w:i/>
              </w:rPr>
              <w:t xml:space="preserve">Mental health service contact—session type, code N</w:t>
            </w:r>
            <w:r>
              <w:rPr>
                <w:rStyle w:val="row-content-rich-text"/>
              </w:rPr>
              <w:t xml:space="preserve"> was updated with the addition of supplementary value 8 representing ‘Unknown’ values.</w:t>
            </w:r>
          </w:p>
          <w:p>
            <w:pPr>
              <w:spacing w:after="160"/>
            </w:pPr>
            <w:r>
              <w:rPr>
                <w:rStyle w:val="row-content-rich-text"/>
              </w:rPr>
              <w:t xml:space="preserve">The property definition of the data element </w:t>
            </w:r>
            <w:r>
              <w:rPr>
                <w:rStyle w:val="row-content-rich-text"/>
                <w:i/>
              </w:rPr>
              <w:t xml:space="preserve">Specialised mental health service—target population group, code N</w:t>
            </w:r>
            <w:r>
              <w:rPr>
                <w:rStyle w:val="row-content-rich-text"/>
              </w:rPr>
              <w:t xml:space="preserve"> was updated.</w:t>
            </w:r>
          </w:p>
          <w:p>
            <w:pPr>
              <w:spacing w:after="160"/>
            </w:pPr>
            <w:r>
              <w:rPr>
                <w:rStyle w:val="row-content-rich-text"/>
              </w:rPr>
              <w:t xml:space="preserve">There are variations across jurisdictions in the scope and definition of a service contact. For example, most jurisdictions may include consultation and liaison services as service contacts while Tasmania does not. Data on contacts with unregistered clients are not included by all jurisdictions. Unregistered client contacts refer to those mental health service contacts for which a person identifier was not recorded. Queensland and the Northern Territory do 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pStyle w:val="ListParagraph"/>
              <w:numPr>
                <w:ilvl w:val="0"/>
                <w:numId w:val="5"/>
              </w:numPr>
            </w:pPr>
            <w:r>
              <w:rPr>
                <w:rStyle w:val="row-content-rich-text"/>
              </w:rPr>
              <w:t xml:space="preserve">The Australian Capital Territory, New South Wales, Victoria, Queensland and the Northern Territory, report that data are submitted in accordance with the ICD-10-AM 10th edition.</w:t>
            </w:r>
          </w:p>
          <w:p>
            <w:pPr>
              <w:pStyle w:val="ListParagraph"/>
              <w:numPr>
                <w:ilvl w:val="0"/>
                <w:numId w:val="5"/>
              </w:numPr>
            </w:pPr>
            <w:r>
              <w:rPr>
                <w:rStyle w:val="row-content-rich-text"/>
              </w:rPr>
              <w:t xml:space="preserve">South Australia used a combination of ICD-10-AM 10th Edition and ICD-10-AM Mental Health Manual 1st Edition.</w:t>
            </w:r>
          </w:p>
          <w:p>
            <w:pPr>
              <w:pStyle w:val="ListParagraph"/>
              <w:numPr>
                <w:ilvl w:val="0"/>
                <w:numId w:val="5"/>
              </w:numPr>
            </w:pPr>
            <w:r>
              <w:rPr>
                <w:rStyle w:val="row-content-rich-text"/>
              </w:rPr>
              <w:t xml:space="preserve">Tasmania reported using ICD-10-AM 10th Edition where possible.</w:t>
            </w:r>
          </w:p>
          <w:p>
            <w:pPr>
              <w:pStyle w:val="ListParagraph"/>
              <w:numPr>
                <w:ilvl w:val="0"/>
                <w:numId w:val="5"/>
              </w:numPr>
            </w:pPr>
            <w:r>
              <w:rPr>
                <w:rStyle w:val="row-content-rich-text"/>
              </w:rPr>
              <w:t xml:space="preserve">Western Australia reported that current statewide mental health information systems use ICD-10-AM 10th edition. Patients who were activated prior to this version being implemented and have not had a diagnosis review may use an earlier ICD edition. As such, some mapping of previous ICD diagnosis codes are undertaken for the purposes of NMDS submissions.</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spacing w:after="160"/>
            </w:pPr>
            <w:r>
              <w:rPr>
                <w:rStyle w:val="row-content-rich-text"/>
              </w:rPr>
              <w:t xml:space="preserve">4. Differences according to whether the principal diagnosis is applied to an individual service contact or to a period of care.</w:t>
            </w:r>
          </w:p>
          <w:p>
            <w:pPr>
              <w:spacing w:after="160"/>
            </w:pPr>
            <w:r>
              <w:rPr>
                <w:rStyle w:val="row-content-rich-text"/>
              </w:rPr>
              <w:t xml:space="preserve">New South Wales and Victoria report the current diagnosis for each service contact rather than a principal diagnosis for a longer period of care. The remaining jurisdictions report principal diagnosis as applying to a longer period of care.</w:t>
            </w:r>
          </w:p>
          <w:p>
            <w:pPr>
              <w:spacing w:after="160"/>
            </w:pPr>
            <w:r>
              <w:rPr>
                <w:rStyle w:val="row-content-rich-text"/>
                <w:b/>
                <w:i/>
              </w:rPr>
              <w:t xml:space="preserve">Comparability over time</w:t>
            </w:r>
          </w:p>
          <w:p>
            <w:pPr>
              <w:spacing w:after="160"/>
            </w:pPr>
            <w:r>
              <w:rPr>
                <w:rStyle w:val="row-content-rich-text"/>
              </w:rPr>
              <w:t xml:space="preserve">Comparability of NCMHCD data over time can be variable. Changes to reporting practices, upgrades to information systems and revisions to data mean comparison between years should be made with caution.</w:t>
            </w:r>
          </w:p>
          <w:p>
            <w:pPr>
              <w:spacing w:after="160"/>
            </w:pPr>
            <w:r>
              <w:rPr>
                <w:rStyle w:val="row-content-rich-text"/>
              </w:rPr>
              <w:t xml:space="preserve">For 2018–19, New South Wales reported reduced data coverage due to the introduction of a new system in the Justice Health network.</w:t>
            </w:r>
          </w:p>
          <w:p>
            <w:pPr>
              <w:spacing w:after="160"/>
            </w:pPr>
            <w:r>
              <w:rPr>
                <w:rStyle w:val="row-content-rich-text"/>
              </w:rPr>
              <w:t xml:space="preserve">New South Wales reported that apparent growth in Involuntary legal status for 2018–19 is generally a reflection of poorer data quality in previous years, and that a state led focus on improving data quality around legal status and other key items has resulted in more accurate recording of this item in 2018–19. </w:t>
            </w:r>
          </w:p>
          <w:p>
            <w:pPr/>
            <w:r>
              <w:rPr>
                <w:rStyle w:val="row-content-rich-text"/>
              </w:rPr>
              <w:t xml:space="preserve">For 2018–19, Tasmania reported that industrial action from September 2018 resulted in under reporting of contacts, due to reduced coverage of in-scope services supplying data for some of the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e3c19bc05c47b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0145546e9c4598">
              <w:r>
                <w:rPr>
                  <w:rStyle w:val="Hyperlink"/>
                </w:rPr>
                <w:t xml:space="preserve">Community mental health care NMDS 2017–18: National Community Mental Health Care Database, 2019; Quality Statement</w:t>
              </w:r>
            </w:hyperlink>
          </w:p>
          <w:p>
            <w:pPr>
              <w:spacing w:before="0" w:after="0"/>
            </w:pPr>
            <w:r>
              <w:rPr>
                <w:rStyle w:val="row-content"/>
                <w:color w:val="244061"/>
              </w:rPr>
              <w:t xml:space="preserve">       </w:t>
            </w:r>
            <w:hyperlink w:history="true" r:id="R50f36738d3fe43d7">
              <w:r>
                <w:rPr>
                  <w:rStyle w:val="Hyperlink"/>
                  <w:color w:val="244061"/>
                </w:rPr>
                <w:t xml:space="preserve">AIHW Data Quality Statements</w:t>
              </w:r>
            </w:hyperlink>
            <w:r>
              <w:rPr>
                <w:rStyle w:val="row-content"/>
                <w:color w:val="244061"/>
              </w:rPr>
              <w:t xml:space="preserve">, Standard 09/10/2019</w:t>
            </w:r>
          </w:p>
          <w:p>
            <w:r>
              <w:br/>
            </w:r>
            <w:r>
              <w:rPr>
                <w:rStyle w:val="row-content"/>
              </w:rPr>
              <w:t xml:space="preserve">Has been superseded by </w:t>
            </w:r>
            <w:hyperlink w:history="true" r:id="R12f0ee75b0d3421e">
              <w:r>
                <w:rPr>
                  <w:rStyle w:val="Hyperlink"/>
                </w:rPr>
                <w:t xml:space="preserve">Community mental health care NMDS 2019–20: National Community Mental Health Care Database, 2021; Quality Statement</w:t>
              </w:r>
            </w:hyperlink>
          </w:p>
          <w:p>
            <w:pPr>
              <w:spacing w:before="0" w:after="0"/>
            </w:pPr>
            <w:r>
              <w:rPr>
                <w:rStyle w:val="row-content"/>
                <w:color w:val="244061"/>
              </w:rPr>
              <w:t xml:space="preserve">       </w:t>
            </w:r>
            <w:hyperlink w:history="true" r:id="R4f834fcb68a24f5f">
              <w:r>
                <w:rPr>
                  <w:rStyle w:val="Hyperlink"/>
                  <w:color w:val="244061"/>
                </w:rPr>
                <w:t xml:space="preserve">AIHW Data Quality Statements</w:t>
              </w:r>
            </w:hyperlink>
            <w:r>
              <w:rPr>
                <w:rStyle w:val="row-content"/>
                <w:color w:val="244061"/>
              </w:rPr>
              <w:t xml:space="preserve">, Superseded 10/11/2022</w:t>
            </w:r>
          </w:p>
          <w:p>
            <w:r>
              <w:br/>
            </w:r>
            <w:r>
              <w:rPr>
                <w:rStyle w:val="row-content"/>
              </w:rPr>
              <w:t xml:space="preserve">See also </w:t>
            </w:r>
            <w:hyperlink w:history="true" r:id="R7ad91e2c40964d7c">
              <w:r>
                <w:rPr>
                  <w:rStyle w:val="Hyperlink"/>
                </w:rPr>
                <w:t xml:space="preserve">Community mental health care NMDS 2018–19</w:t>
              </w:r>
            </w:hyperlink>
          </w:p>
          <w:p>
            <w:pPr>
              <w:spacing w:before="0" w:after="0"/>
            </w:pPr>
            <w:r>
              <w:rPr>
                <w:rStyle w:val="row-content"/>
                <w:color w:val="244061"/>
              </w:rPr>
              <w:t xml:space="preserve">       </w:t>
            </w:r>
            <w:hyperlink w:history="true" r:id="R4e9f3cc1d57e4efe">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8b93a6791c6445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730009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a513bf0ebb43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93a6791c6445e3" /><Relationship Type="http://schemas.openxmlformats.org/officeDocument/2006/relationships/header" Target="/word/header1.xml" Id="R429a8fb365e441f8" /><Relationship Type="http://schemas.openxmlformats.org/officeDocument/2006/relationships/settings" Target="/word/settings.xml" Id="R6a33fc239ee2468b" /><Relationship Type="http://schemas.openxmlformats.org/officeDocument/2006/relationships/styles" Target="/word/styles.xml" Id="R1da78166b8c940cb" /><Relationship Type="http://schemas.openxmlformats.org/officeDocument/2006/relationships/hyperlink" Target="https://meteor.aihw.gov.au/RegistrationAuthority/5" TargetMode="External" Id="Ra789696dbe824371" /><Relationship Type="http://schemas.openxmlformats.org/officeDocument/2006/relationships/numbering" Target="/word/numbering.xml" Id="R447d8f014dbc448a" /><Relationship Type="http://schemas.openxmlformats.org/officeDocument/2006/relationships/hyperlink" Target="https://meteor.aihw.gov.au/content/677802" TargetMode="External" Id="R43afb8ba86414889" /><Relationship Type="http://schemas.openxmlformats.org/officeDocument/2006/relationships/hyperlink" Target="https://www.legislation.gov.au/Series/C2004A03450" TargetMode="External" Id="R1a18a95d623b49f4" /><Relationship Type="http://schemas.openxmlformats.org/officeDocument/2006/relationships/hyperlink" Target="https://www.legislation.gov.au/Series/C2004A03450" TargetMode="External" Id="Rdb74a52a60dd4102" /><Relationship Type="http://schemas.openxmlformats.org/officeDocument/2006/relationships/hyperlink" Target="https://www.legislation.gov.au/Series/C2004A03712" TargetMode="External" Id="R3aca71659ef14351" /><Relationship Type="http://schemas.openxmlformats.org/officeDocument/2006/relationships/hyperlink" Target="http://www.aihw.gov.au/" TargetMode="External" Id="Rf12a1ea8df374752" /><Relationship Type="http://schemas.openxmlformats.org/officeDocument/2006/relationships/hyperlink" Target="https://meteor.aihw.gov.au/content/182135" TargetMode="External" Id="Rc9fa5484ba824135" /><Relationship Type="http://schemas.openxmlformats.org/officeDocument/2006/relationships/hyperlink" Target="https://meteor.aihw.gov.au/content/677892" TargetMode="External" Id="R8ce0166a3e124133" /><Relationship Type="http://schemas.openxmlformats.org/officeDocument/2006/relationships/hyperlink" Target="https://meteor.aihw.gov.au/content/182135" TargetMode="External" Id="Rd4ef70d4484b422a" /><Relationship Type="http://schemas.openxmlformats.org/officeDocument/2006/relationships/hyperlink" Target="https://meteor.aihw.gov.au/content/677892" TargetMode="External" Id="R94d108077ca7495b" /><Relationship Type="http://schemas.openxmlformats.org/officeDocument/2006/relationships/hyperlink" Target="https://www.aihw.gov.au/reports/mental-health-services/mental-health-services-in-australia/report-contents/summary" TargetMode="External" Id="R1f26098546294e8c" /><Relationship Type="http://schemas.openxmlformats.org/officeDocument/2006/relationships/hyperlink" Target="https://www.aihw.gov.au/reports/mental-health-services/mental-health-services-in-australia/report-contents/summary" TargetMode="External" Id="R581e51265cdb4c40" /><Relationship Type="http://schemas.openxmlformats.org/officeDocument/2006/relationships/hyperlink" Target="https://meteor.aihw.gov.au/content/181162" TargetMode="External" Id="Re238026f608b453d" /><Relationship Type="http://schemas.openxmlformats.org/officeDocument/2006/relationships/hyperlink" Target="https://meteor.aihw.gov.au/content/246013" TargetMode="External" Id="R24e3c19bc05c47b5" /><Relationship Type="http://schemas.openxmlformats.org/officeDocument/2006/relationships/hyperlink" Target="https://meteor.aihw.gov.au/content/719722" TargetMode="External" Id="Re80145546e9c4598" /><Relationship Type="http://schemas.openxmlformats.org/officeDocument/2006/relationships/hyperlink" Target="https://meteor.aihw.gov.au/RegistrationAuthority/5" TargetMode="External" Id="R50f36738d3fe43d7" /><Relationship Type="http://schemas.openxmlformats.org/officeDocument/2006/relationships/hyperlink" Target="https://meteor.aihw.gov.au/content/742292" TargetMode="External" Id="R12f0ee75b0d3421e" /><Relationship Type="http://schemas.openxmlformats.org/officeDocument/2006/relationships/hyperlink" Target="https://meteor.aihw.gov.au/RegistrationAuthority/5" TargetMode="External" Id="R4f834fcb68a24f5f" /><Relationship Type="http://schemas.openxmlformats.org/officeDocument/2006/relationships/hyperlink" Target="https://meteor.aihw.gov.au/content/677802" TargetMode="External" Id="R7ad91e2c40964d7c" /><Relationship Type="http://schemas.openxmlformats.org/officeDocument/2006/relationships/hyperlink" Target="https://meteor.aihw.gov.au/RegistrationAuthority/12" TargetMode="External" Id="R4e9f3cc1d57e4efe" /></Relationships>
</file>

<file path=word/_rels/header1.xml.rels>&#65279;<?xml version="1.0" encoding="utf-8"?><Relationships xmlns="http://schemas.openxmlformats.org/package/2006/relationships"><Relationship Type="http://schemas.openxmlformats.org/officeDocument/2006/relationships/image" Target="/media/image.png" Id="Rd8a513bf0ebb43dc" /></Relationships>
</file>