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e372ab684c4c1b"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2017–2019;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2017–2019;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b80090bedd4658">
              <w:r>
                <w:rPr>
                  <w:rStyle w:val="Hyperlink"/>
                  <w:color w:val="244061"/>
                </w:rPr>
                <w:t xml:space="preserve">AIHW Data Quality Statements</w:t>
              </w:r>
            </w:hyperlink>
            <w:r>
              <w:rPr>
                <w:rStyle w:val="row-content"/>
                <w:color w:val="244061"/>
              </w:rPr>
              <w:t xml:space="preserve">, Standard 01/12/2020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National Bowel Cancer Screening Program (NBCSP) screening data are highly relevant for monitoring trends and outcomes from NBCSP screening participation.</w:t>
            </w:r>
          </w:p>
          <w:p>
            <w:pPr>
              <w:pStyle w:val="ListParagraph"/>
              <w:numPr>
                <w:ilvl w:val="0"/>
                <w:numId w:val="2"/>
              </w:numPr>
            </w:pPr>
            <w:r>
              <w:rPr>
                <w:rStyle w:val="row-content-rich-text"/>
              </w:rPr>
              <w:t xml:space="preserve">NBCSP data depend on the return of data forms from participants, general practitioners, colonoscopists and pathologists to the National Cancer Screening Register (NCSR).</w:t>
            </w:r>
          </w:p>
          <w:p>
            <w:pPr>
              <w:pStyle w:val="ListParagraph"/>
              <w:numPr>
                <w:ilvl w:val="0"/>
                <w:numId w:val="2"/>
              </w:numPr>
            </w:pPr>
            <w:r>
              <w:rPr>
                <w:rStyle w:val="row-content-rich-text"/>
              </w:rPr>
              <w:t xml:space="preserve">Analysis by remoteness, socioeconomic status, Primary Health Network (PHN), Statistical Area Level 3 (SA3) and Statistical Area Level 2 (SA2) are based on Statistical Area 1 (SA1) or postcode of residential address of NBCSP invitees at the time of screening. Correspondences for these disaggregations may be unavoidably older than the year(s) of screening data being reported, potentially leading to inaccuracies.</w:t>
            </w:r>
          </w:p>
          <w:p>
            <w:pPr>
              <w:pStyle w:val="ListParagraph"/>
              <w:numPr>
                <w:ilvl w:val="0"/>
                <w:numId w:val="2"/>
              </w:numPr>
            </w:pPr>
            <w:r>
              <w:rPr>
                <w:rStyle w:val="row-content-rich-text"/>
              </w:rPr>
              <w:t xml:space="preserve">Aboriginal and Torres Strait Islander, language spoken at home and disability status are self-reported by participating individuals.</w:t>
            </w:r>
          </w:p>
          <w:p>
            <w:pPr>
              <w:pStyle w:val="ListParagraph"/>
              <w:numPr>
                <w:ilvl w:val="0"/>
                <w:numId w:val="2"/>
              </w:numPr>
            </w:pPr>
            <w:r>
              <w:rPr>
                <w:rStyle w:val="row-content-rich-text"/>
              </w:rPr>
              <w:t xml:space="preserve">Exclusion of people screened outside the NBCSP will result in an underestimation of bowel cancer population screening rates in the target ages.</w:t>
            </w:r>
          </w:p>
          <w:p>
            <w:pPr>
              <w:pStyle w:val="ListParagraph"/>
              <w:numPr>
                <w:ilvl w:val="0"/>
                <w:numId w:val="2"/>
              </w:numPr>
            </w:pPr>
            <w:r>
              <w:rPr>
                <w:rStyle w:val="row-content-rich-text"/>
              </w:rPr>
              <w:t xml:space="preserve">Data return for later stages in the NBCSP screening pathway (colonoscopy and pathology follow-up, as required) is not mandatory. This may result in under-reporting, or suppression of incomplete outcome data.</w:t>
            </w:r>
          </w:p>
          <w:p>
            <w:pPr>
              <w:spacing w:after="160"/>
            </w:pPr>
            <w:r>
              <w:rPr>
                <w:rStyle w:val="row-content-rich-text"/>
                <w:b/>
              </w:rPr>
              <w:t xml:space="preserve">Description</w:t>
            </w:r>
          </w:p>
          <w:p>
            <w:pPr>
              <w:spacing w:after="160"/>
            </w:pPr>
            <w:r>
              <w:rPr>
                <w:rStyle w:val="row-content-rich-text"/>
              </w:rPr>
              <w:t xml:space="preserve">The NBCSP is managed by the Australian Government Department of Health in partnership with state and territory governments. The NBCSP started in 2006 and uses national invitation and screening analysis processes.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NCSR via non-mandatory form return.</w:t>
            </w:r>
          </w:p>
          <w:p>
            <w:pPr>
              <w:spacing w:after="160"/>
            </w:pPr>
            <w:r>
              <w:rPr>
                <w:rStyle w:val="row-content-rich-text"/>
              </w:rPr>
              <w:t xml:space="preserve">Program expansion to implement a biennial screening interval for those aged 50–74 started in January 2015 and roll-out (with all age groups included) was completed from 1 January 2019. Eligible Australians (Australian citizens or migrants in the Medicare enrolment file, or who are registered with a Department of Veterans’ Affairs gold card) aged 50–74 will be invited to screen every 2 years.</w:t>
            </w:r>
          </w:p>
          <w:p>
            <w:pPr>
              <w:spacing w:after="160"/>
            </w:pPr>
            <w:r>
              <w:rPr>
                <w:rStyle w:val="row-content-rich-text"/>
              </w:rPr>
              <w:t xml:space="preserve">Future biennial invitations are 2 years from:</w:t>
            </w:r>
          </w:p>
          <w:p>
            <w:pPr>
              <w:pStyle w:val="ListParagraph"/>
              <w:numPr>
                <w:ilvl w:val="0"/>
                <w:numId w:val="3"/>
              </w:numPr>
            </w:pPr>
            <w:r>
              <w:rPr>
                <w:rStyle w:val="row-content-rich-text"/>
              </w:rPr>
              <w:t xml:space="preserve">their previous invitation date (for those who did not participate the previous time) or</w:t>
            </w:r>
          </w:p>
          <w:p>
            <w:pPr>
              <w:pStyle w:val="ListParagraph"/>
              <w:numPr>
                <w:ilvl w:val="0"/>
                <w:numId w:val="3"/>
              </w:numPr>
            </w:pPr>
            <w:r>
              <w:rPr>
                <w:rStyle w:val="row-content-rich-text"/>
              </w:rPr>
              <w:t xml:space="preserve">their previous screening test date (for those who did participate the previous time).</w:t>
            </w:r>
          </w:p>
          <w:p>
            <w:pPr>
              <w:spacing w:after="160"/>
            </w:pPr>
            <w:r>
              <w:rPr>
                <w:rStyle w:val="row-content-rich-text"/>
              </w:rPr>
              <w:t xml:space="preserve">NBCSP data depend on the return of data forms from participants, general practitioners, colonoscopists and pathologists to the NCSR. In November 2019, NBCSP data were transitioned from the NBCSP Register maintained by the Department of Human Services into the NCSR, that also houses National Cervical Screening Program data, and is currently maintained by Telstra Health (TH). This means that data are now available for download monthly.</w:t>
            </w:r>
          </w:p>
          <w:p>
            <w:pPr/>
            <w:r>
              <w:rPr>
                <w:rStyle w:val="row-content-rich-text"/>
              </w:rPr>
              <w:t xml:space="preserve">The NBCSP is monitored annually by the AIHW. Results are compiled and reported at the national level by the AIHW in an annual NBCSP monitoring report. Activity is also reported 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is a major national agency set up by the Australian Government under the </w:t>
            </w:r>
            <w:hyperlink w:history="true" r:id="R1d9aa8ca06cd469c">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fb05e41e680c4301">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d2c4db6939464a60">
              <w:r>
                <w:rPr>
                  <w:rStyle w:val="Hyperlink"/>
                </w:rPr>
                <w:t xml:space="preserve">Australian Institute of Health and Welfare Act 1987</w:t>
              </w:r>
            </w:hyperlink>
            <w:r>
              <w:rPr>
                <w:rStyle w:val="row-content-rich-text"/>
              </w:rPr>
              <w:t xml:space="preserve">, in conjunction with compliance to the </w:t>
            </w:r>
            <w:hyperlink w:history="true" r:id="R29ed1b611a7e4180">
              <w:r>
                <w:rPr>
                  <w:rStyle w:val="Hyperlink"/>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255a61caefa4233">
              <w:r>
                <w:rPr>
                  <w:rStyle w:val="Hyperlink"/>
                </w:rPr>
                <w:t xml:space="preserve">www.aihw.gov.au</w:t>
              </w:r>
            </w:hyperlink>
            <w:r>
              <w:rPr>
                <w:rStyle w:val="row-content-rich-text"/>
              </w:rPr>
              <w:t xml:space="preserve">.</w:t>
            </w:r>
          </w:p>
          <w:p>
            <w:pPr/>
            <w:r>
              <w:rPr>
                <w:rStyle w:val="row-content-rich-text"/>
              </w:rPr>
              <w:t xml:space="preserve">previously, under agreement with the Department of Health and AIHW, the Department of Human Services supplied a de-identified snapshot of all NBCSP activity to the AIHW at 6-month intervals. In November 2019, NBCSP Register data were transitioned from the Department of Human Services to the NCSR that is currently managed by TH on behalf of the Department of Health. From 2020, the NCSR makes a raw data extract available for download each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data are available the following month, but many performance indicators require follow-up data to allow them to be calculated accurately. For example reporting data for the year 2018 requires follow-up to the end of 2019 to allow at least one year for procedures to occur, such as a colonoscopy after a positive screening test.</w:t>
            </w:r>
          </w:p>
          <w:p>
            <w:pPr/>
            <w:r>
              <w:rPr>
                <w:rStyle w:val="row-content-rich-text"/>
              </w:rPr>
              <w:t xml:space="preserve">The data discussed in this data quality statement cover the period January 2017–December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annual monitoring reports, other relevant reports, and any supplementary data, are available via the AIHW website where they can be downloaded free of charge. Users can request data not available online or in reports via the Screening Analysis &amp; Monitoring Unit of the AIHW on (02) 6244 1000 or via email to </w:t>
            </w:r>
            <w:hyperlink w:history="true" r:id="Rf36b5d7fdd35420f">
              <w:r>
                <w:rPr>
                  <w:rStyle w:val="Hyperlink"/>
                </w:rPr>
                <w:t xml:space="preserve">screening@aihw.gov.au</w:t>
              </w:r>
            </w:hyperlink>
            <w:r>
              <w:rPr>
                <w:rStyle w:val="row-content-rich-text"/>
              </w:rPr>
              <w:t xml:space="preserve">. Requests that take longer than half an hour to compile are charged for on a cost-recovery basis.</w:t>
            </w:r>
          </w:p>
          <w:p>
            <w:pPr/>
            <w:r>
              <w:rPr>
                <w:rStyle w:val="row-content-rich-text"/>
              </w:rPr>
              <w:t xml:space="preserve">General enquiries about AIHW publications can be made to the Strategic Communications and Stakeholder Engagement Unit on (02) 6244 1000 or via email to </w:t>
            </w:r>
            <w:hyperlink w:history="true" r:id="Raabdd6a588874c19">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of the current NBCSP performance indicators can be found at </w:t>
            </w:r>
            <w:hyperlink w:history="true" r:id="Rcc23fc99e56e4920">
              <w:r>
                <w:rPr>
                  <w:rStyle w:val="Hyperlink"/>
                </w:rPr>
                <w:t xml:space="preserve">Key performance indicators for the National Bowel Cancer Screening Program</w:t>
              </w:r>
            </w:hyperlink>
            <w:r>
              <w:rPr>
                <w:rStyle w:val="row-content-rich-text"/>
              </w:rPr>
              <w:t xml:space="preserve">.</w:t>
            </w:r>
          </w:p>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only available for those who participate.</w:t>
            </w:r>
          </w:p>
          <w:p>
            <w:pPr>
              <w:spacing w:after="160"/>
            </w:pPr>
            <w:r>
              <w:rPr>
                <w:rStyle w:val="row-content-rich-text"/>
              </w:rPr>
              <w:t xml:space="preserve">Socioeconomic status IRSD rankings are only measured at the time of the Australian Census of Population and Housing and are not available for approximately 18 months from the Census date. Consequently, socioeconomic status for a geographical area may be up to 6 years old and not an accurate representation of the status of residents at the time the data are analysed. In addiion, IRSD is a measure of the average disadvantage of households in an area and the level of disadvantage of an individual household may vary significantly from the average.</w:t>
            </w:r>
          </w:p>
          <w:p>
            <w:pPr>
              <w:spacing w:after="160"/>
            </w:pPr>
            <w:r>
              <w:rPr>
                <w:rStyle w:val="row-content-rich-text"/>
              </w:rPr>
              <w:t xml:space="preserve">An Australian Bureau of Statistics POA to remoteness correspondence and a POA to socioeconomic status correspondence are used to allocate persons screened to remoteness and socioeconomic status areas based on their postcode of residence. 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exist in earlier correspondences.</w:t>
            </w:r>
          </w:p>
          <w:p>
            <w:pPr>
              <w:spacing w:after="160"/>
            </w:pPr>
            <w:r>
              <w:rPr>
                <w:rStyle w:val="row-content-rich-text"/>
              </w:rPr>
              <w:t xml:space="preserve">Correspondences that convert POAs and Statistical Area 1 geographies to PHN and Statistical Area geographies are also used. Records that cannot be converted by the correspondences are classified in an 'unknown' category.</w:t>
            </w:r>
          </w:p>
          <w:p>
            <w:pPr>
              <w:spacing w:after="160"/>
            </w:pPr>
            <w:r>
              <w:rPr>
                <w:rStyle w:val="row-content-rich-text"/>
              </w:rPr>
              <w:t xml:space="preserve">NBCSP outcome data are via non-mandatory form return from GP visits, colonoscopies, histopathology, adverse events and surgical resection. The completeness of form return is unknown; therefore, there is an unknown amount of missing outcome data, which needs to be taken into consideration when reviewing NBCSP outcome analyses. Results of some analyses may be excluded where data are not considered complete enough to provide accurate information.</w:t>
            </w:r>
          </w:p>
          <w:p>
            <w:pPr/>
            <w:r>
              <w:rPr>
                <w:rStyle w:val="row-content-rich-text"/>
              </w:rPr>
              <w:t xml:space="preserve">The data used in NBCSP monitoring reports allow for 6 months of follow-up time post-invitation. However, this may not be enough time for all people who had a positive screening result to have completed the screening pathway and had outcomes returned to the NCSR. This may also result in some under-reporting of outcome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reported and published annually by the AIHW. However, the 2016 NBCSP monitoring report was the first to use the NBCSP performance indicators specified at: </w:t>
            </w:r>
            <w:hyperlink w:history="true" r:id="Rb9c4b36031724bce">
              <w:r>
                <w:rPr>
                  <w:rStyle w:val="Hyperlink"/>
                </w:rPr>
                <w:t xml:space="preserve">https://www.aihw.gov.au/reports/cancer-screening/key-performance-indicators-for-the-national-bowel/contents/table-of-contents</w:t>
              </w:r>
            </w:hyperlink>
            <w:r>
              <w:rPr>
                <w:rStyle w:val="row-content-rich-text"/>
              </w:rPr>
              <w:t xml:space="preserve">. Therefore, results in reports from 2016 onwards cannot be compared with earlier reports. Instead, monitoring reports from 2016 onwards apply the new performance indicators to earlier years of data to provide data for earlier program years (and thus trends) using these indicators.</w:t>
            </w:r>
          </w:p>
          <w:p>
            <w:pPr/>
            <w:r>
              <w:rPr>
                <w:rStyle w:val="row-content-rich-text"/>
              </w:rPr>
              <w:t xml:space="preserve">In future, the addition of extra screening ages and biennial rescreening are expected to affect results in most performance indicators, which will make reasons for changes in their overall trends difficult to interpret.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d8ff50f61e4ed2">
              <w:r>
                <w:rPr>
                  <w:rStyle w:val="Hyperlink"/>
                </w:rPr>
                <w:t xml:space="preserve">National Bowel Cancer Screening Program screening data 2016–2018; Quality Statement</w:t>
              </w:r>
            </w:hyperlink>
          </w:p>
          <w:p>
            <w:pPr>
              <w:pStyle w:val="registration-status"/>
              <w:spacing w:before="0" w:after="0"/>
            </w:pPr>
            <w:hyperlink w:history="true" r:id="Re08eada1d7b842df">
              <w:r>
                <w:rPr>
                  <w:rStyle w:val="Hyperlink"/>
                  <w:color w:val="244061"/>
                </w:rPr>
                <w:t xml:space="preserve">AIHW Data Quality Statements</w:t>
              </w:r>
            </w:hyperlink>
            <w:r>
              <w:rPr>
                <w:rStyle w:val="row-content"/>
                <w:color w:val="244061"/>
              </w:rPr>
              <w:t xml:space="preserve">, Superseded 01/12/2020</w:t>
            </w:r>
          </w:p>
          <w:p>
            <w:r>
              <w:br/>
            </w:r>
            <w:r>
              <w:rPr>
                <w:rStyle w:val="row-content"/>
              </w:rPr>
              <w:t xml:space="preserve">Has been superseded by </w:t>
            </w:r>
            <w:hyperlink w:history="true" r:id="R955b5a5011844f12">
              <w:r>
                <w:rPr>
                  <w:rStyle w:val="Hyperlink"/>
                </w:rPr>
                <w:t xml:space="preserve">National Bowel Cancer Screening Program screening data 2018–2020; Quality Statement</w:t>
              </w:r>
            </w:hyperlink>
          </w:p>
          <w:p>
            <w:pPr>
              <w:pStyle w:val="registration-status"/>
              <w:spacing w:before="0" w:after="0"/>
            </w:pPr>
            <w:hyperlink w:history="true" r:id="Raf35804f31154fee">
              <w:r>
                <w:rPr>
                  <w:rStyle w:val="Hyperlink"/>
                  <w:color w:val="244061"/>
                </w:rPr>
                <w:t xml:space="preserve">AIHW Data Quality Statements</w:t>
              </w:r>
            </w:hyperlink>
            <w:r>
              <w:rPr>
                <w:rStyle w:val="row-content"/>
                <w:color w:val="244061"/>
              </w:rPr>
              <w:t xml:space="preserve">, Superseded 14/06/2022</w:t>
            </w:r>
          </w:p>
          <w:p>
            <w:r>
              <w:br/>
            </w:r>
          </w:p>
        </w:tc>
      </w:tr>
    </w:tbl>
    <w:p>
      <w:r>
        <w:br/>
      </w:r>
    </w:p>
    <w:sectPr>
      <w:footerReference xmlns:r="http://schemas.openxmlformats.org/officeDocument/2006/relationships" w:type="default" r:id="Rb97842e3b45040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729628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7e2b87ef8140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7842e3b4504013" /><Relationship Type="http://schemas.openxmlformats.org/officeDocument/2006/relationships/header" Target="/word/header1.xml" Id="R6258afcacb814b65" /><Relationship Type="http://schemas.openxmlformats.org/officeDocument/2006/relationships/settings" Target="/word/settings.xml" Id="Rd675919d13514504" /><Relationship Type="http://schemas.openxmlformats.org/officeDocument/2006/relationships/styles" Target="/word/styles.xml" Id="R062db2ebc8854728" /><Relationship Type="http://schemas.openxmlformats.org/officeDocument/2006/relationships/numbering" Target="/word/numbering.xml" Id="R0f21d3b572a14ea3" /><Relationship Type="http://schemas.openxmlformats.org/officeDocument/2006/relationships/hyperlink" Target="https://meteor.aihw.gov.au/RegistrationAuthority/5" TargetMode="External" Id="R9cb80090bedd4658" /><Relationship Type="http://schemas.openxmlformats.org/officeDocument/2006/relationships/hyperlink" Target="http://www.comlaw.gov.au/Series/C2004A03450" TargetMode="External" Id="R1d9aa8ca06cd469c" /><Relationship Type="http://schemas.openxmlformats.org/officeDocument/2006/relationships/hyperlink" Target="http://www.aihw.gov.au/aihw-board/" TargetMode="External" Id="Rfb05e41e680c4301" /><Relationship Type="http://schemas.openxmlformats.org/officeDocument/2006/relationships/hyperlink" Target="http://www.comlaw.gov.au/Series/C2004A03450" TargetMode="External" Id="Rd2c4db6939464a60" /><Relationship Type="http://schemas.openxmlformats.org/officeDocument/2006/relationships/hyperlink" Target="https://www.legislation.gov.au/Series/C2004A03712" TargetMode="External" Id="R29ed1b611a7e4180" /><Relationship Type="http://schemas.openxmlformats.org/officeDocument/2006/relationships/hyperlink" Target="http://www.aihw.gov.au/" TargetMode="External" Id="R8255a61caefa4233" /><Relationship Type="http://schemas.openxmlformats.org/officeDocument/2006/relationships/hyperlink" Target="mailto:screening@aihw.gov.au" TargetMode="External" Id="Rf36b5d7fdd35420f" /><Relationship Type="http://schemas.openxmlformats.org/officeDocument/2006/relationships/hyperlink" Target="mailto:info@aihw.gov.au" TargetMode="External" Id="Raabdd6a588874c19" /><Relationship Type="http://schemas.openxmlformats.org/officeDocument/2006/relationships/hyperlink" Target="https://www.aihw.gov.au/reports/cancer-screening/key-performance-indicators-for-the-national-bowel/contents/table-of-contents" TargetMode="External" Id="Rcc23fc99e56e4920" /><Relationship Type="http://schemas.openxmlformats.org/officeDocument/2006/relationships/hyperlink" Target="https://www.aihw.gov.au/reports/cancer-screening/key-performance-indicators-for-the-national-bowel/contents/table-of-contents" TargetMode="External" Id="Rb9c4b36031724bce" /><Relationship Type="http://schemas.openxmlformats.org/officeDocument/2006/relationships/hyperlink" Target="https://meteor.aihw.gov.au/content/724637" TargetMode="External" Id="R46d8ff50f61e4ed2" /><Relationship Type="http://schemas.openxmlformats.org/officeDocument/2006/relationships/hyperlink" Target="https://meteor.aihw.gov.au/RegistrationAuthority/5" TargetMode="External" Id="Re08eada1d7b842df" /><Relationship Type="http://schemas.openxmlformats.org/officeDocument/2006/relationships/hyperlink" Target="https://meteor.aihw.gov.au/content/741979" TargetMode="External" Id="R955b5a5011844f12" /><Relationship Type="http://schemas.openxmlformats.org/officeDocument/2006/relationships/hyperlink" Target="https://meteor.aihw.gov.au/RegistrationAuthority/5" TargetMode="External" Id="Raf35804f31154fee" /></Relationships>
</file>

<file path=word/_rels/header1.xml.rels>&#65279;<?xml version="1.0" encoding="utf-8"?><Relationships xmlns="http://schemas.openxmlformats.org/package/2006/relationships"><Relationship Type="http://schemas.openxmlformats.org/officeDocument/2006/relationships/image" Target="/media/image.png" Id="Rf47e2b87ef8140b0" /></Relationships>
</file>