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844b098ef84ce0"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 stillbirth;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0f9fa3984431e">
              <w:r>
                <w:rPr>
                  <w:rStyle w:val="Hyperlink"/>
                  <w:color w:val="244061"/>
                </w:rPr>
                <w:t xml:space="preserve">AIHW Data Quality Statements</w:t>
              </w:r>
            </w:hyperlink>
            <w:r>
              <w:rPr>
                <w:rStyle w:val="row-content"/>
                <w:color w:val="244061"/>
              </w:rPr>
              <w:t xml:space="preserve">, Superseded 19/05/2021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National Perinatal Mortality Data Collection (NPMDC) collates state and territory information on the deaths during pregnancy, birth or within 28 days of birth, of babies of at least 20 weeks’ gestation or at least 400 grams birthweight. Key quality issues to consider for the collection include:</w:t>
            </w:r>
          </w:p>
          <w:p>
            <w:pPr>
              <w:pStyle w:val="ListParagraph"/>
              <w:numPr>
                <w:ilvl w:val="0"/>
                <w:numId w:val="2"/>
              </w:numPr>
            </w:pPr>
            <w:r>
              <w:rPr>
                <w:rStyle w:val="row-content-rich-text"/>
              </w:rPr>
              <w:t xml:space="preserve">Data items are supplied voluntarily to the NPMDC, resulting in a relatively high number of ‘Not supplied/stated’ values for some data items. In 2017, data items particularly affected by this issue include Reason autopsy not performed (95.2% not supplied/stated), Contributory factors: Assessment of factors performed (66.5% not supplied/stated), Post-mortem investigations performed indicator (48.0% not supplied/stated), and Place of death (41.8% not supplied/stated).</w:t>
            </w:r>
          </w:p>
          <w:p>
            <w:pPr>
              <w:pStyle w:val="ListParagraph"/>
              <w:numPr>
                <w:ilvl w:val="0"/>
                <w:numId w:val="2"/>
              </w:numPr>
            </w:pPr>
            <w:r>
              <w:rPr>
                <w:rStyle w:val="row-content-rich-text"/>
              </w:rPr>
              <w:t xml:space="preserve">Data reported to the NPMDC may differ from those of the NPDC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pStyle w:val="ListParagraph"/>
              <w:numPr>
                <w:ilvl w:val="0"/>
                <w:numId w:val="2"/>
              </w:numPr>
            </w:pPr>
            <w:r>
              <w:rPr>
                <w:rStyle w:val="row-content-rich-text"/>
              </w:rPr>
              <w:t xml:space="preserve">In 2017, there were 2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pStyle w:val="ListParagraph"/>
              <w:numPr>
                <w:ilvl w:val="0"/>
                <w:numId w:val="2"/>
              </w:numPr>
            </w:pPr>
            <w:r>
              <w:rPr>
                <w:rStyle w:val="row-content-rich-text"/>
              </w:rPr>
              <w:t xml:space="preserve">Perinatal death data reported by the Australian Bureau of Statistics (ABS) are not directly comparable with NPMDC data. ABS data are sourced from state and territory registrars of Births, Deaths and Marriages; while NPMDC data are sourced from state and territory health authority data from midwives, and other staff, who collect information from mothers and perinatal administrative and clinical record systems.  </w:t>
            </w:r>
          </w:p>
          <w:p>
            <w:pPr>
              <w:spacing w:after="160"/>
            </w:pPr>
            <w:r>
              <w:rPr>
                <w:rStyle w:val="row-content-rich-text"/>
                <w:b/>
              </w:rPr>
              <w:t xml:space="preserve">Description</w:t>
            </w:r>
            <w:r>
              <w:br/>
            </w:r>
            <w:r>
              <w:rPr>
                <w:rStyle w:val="row-content-rich-text"/>
              </w:rPr>
              <w:t xml:space="preserve">The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or birth or within 28 days of birth.</w:t>
            </w:r>
          </w:p>
          <w:p>
            <w:pPr>
              <w:spacing w:after="160"/>
            </w:pPr>
            <w:r>
              <w:rPr>
                <w:rStyle w:val="row-content-rich-text"/>
              </w:rPr>
              <w:t xml:space="preserve">State and territory health authorities supply data to the AIHW under individual data agreements between AIHW and each state or territory health authority. Data are collected annually by calendar year. The NPMDC contains data from 2013.</w:t>
            </w:r>
          </w:p>
          <w:p>
            <w:pPr>
              <w:spacing w:after="160"/>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spacing w:after="160"/>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national agency set up by the Australian Government under the </w:t>
            </w:r>
            <w:hyperlink w:history="true" r:id="R39215b1fb46c433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w:t>
            </w:r>
            <w:hyperlink w:history="true" r:id="Rad17d55c2bcb4a53">
              <w:r>
                <w:rPr>
                  <w:rStyle w:val="Hyperlink"/>
                </w:rPr>
                <w:t xml:space="preserve">board</w:t>
              </w:r>
            </w:hyperlink>
            <w:r>
              <w:rPr>
                <w:rStyle w:val="row-content-rich-text"/>
              </w:rPr>
              <w:t xml:space="preserve">, and accountable to the Australian Government through the Health Portfolio.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 </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w:t>
            </w:r>
            <w:hyperlink w:history="true" r:id="Rfdad8661214f42d8">
              <w:r>
                <w:rPr>
                  <w:rStyle w:val="Hyperlink"/>
                  <w:i/>
                </w:rPr>
                <w:t xml:space="preserve">Australian Institute of Health and Welfare Act </w:t>
              </w:r>
            </w:hyperlink>
            <w:hyperlink w:history="true" r:id="Rbd1051c0337a4c7a">
              <w:r>
                <w:rPr>
                  <w:rStyle w:val="Hyperlink"/>
                  <w:i/>
                </w:rPr>
                <w:t xml:space="preserve">1987</w:t>
              </w:r>
            </w:hyperlink>
            <w:r>
              <w:rPr>
                <w:rStyle w:val="row-content-rich-text"/>
              </w:rPr>
              <w:t xml:space="preserve">, in conjunction with the </w:t>
            </w:r>
            <w:hyperlink w:history="true" r:id="R7f74481a24da4260">
              <w:r>
                <w:rPr>
                  <w:rStyle w:val="Hyperlink"/>
                  <w:i/>
                </w:rPr>
                <w:t xml:space="preserve">Privacy Act 1988</w:t>
              </w:r>
            </w:hyperlink>
            <w:r>
              <w:rPr>
                <w:rStyle w:val="row-content-rich-text"/>
                <w:i/>
              </w:rPr>
              <w:t xml:space="preserve"> (Cwlth)</w:t>
            </w:r>
            <w:r>
              <w:rPr>
                <w:rStyle w:val="row-content-rich-text"/>
              </w:rPr>
              <w:t xml:space="preserve">, ensures that the data collections managed by the AIHW are kept securely and under the strictest conditions with respect to privacy and confidentiality. For further information see the AIHW website </w:t>
            </w:r>
            <w:hyperlink w:history="true" r:id="R4b4ef15bf29643b0">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 </w:t>
            </w:r>
          </w:p>
          <w:p>
            <w:pPr>
              <w:spacing w:after="160"/>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Data cannot be finalised for a calendar year until all Jurisdictional Mortality Review Committee reports that apply to that period are complete. Jurisdictions coordinate and facilitate data collection procedures from service providers and the updating of records. Most jurisdictions need at least 12 months lead time to undertake post-mortem investigations, data entry and validation as required after the end of the data collection period. NPMDC data for 2017 was requested from states and territories on 31 May 2019 for submission to the AIHW by 31 July 2019. Data were received from 3 jurisdictions by this date. Final and useable data were received from 8 jurisdictions by 18 December 2020. Data suppliers in some jurisdictions have given feedback that a request for data 17 months after the end of the collection period is unachievable as some data (particularly pertaining to PSANZ classification codes and contributory factors) are still waiting to be compiled at this stage. The AIHW continues to work on a number of strategies to improve the timeliness of data publication and has a goal of finalising national data and reporting within 2 years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Stillbirths and neonatal deaths in Australia report uses data from the NPMDC and is available on the AIHW website, providing online interactive data displays, supplementary data tables and technical notes at </w:t>
            </w:r>
            <w:hyperlink w:history="true" r:id="Rc023ee4f82da4333">
              <w:r>
                <w:rPr>
                  <w:rStyle w:val="Hyperlink"/>
                </w:rPr>
                <w:t xml:space="preserve">https://www.aihw.gov.au/reports/mothers-babies/stillbirths-and-neonatal-deaths-in-australia</w:t>
              </w:r>
              <w:r>
                <w:rPr>
                  <w:rStyle w:val="row-content-rich-text"/>
                </w:rPr>
                <w:t xml:space="preserve">.</w:t>
              </w:r>
            </w:hyperlink>
          </w:p>
          <w:p>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b6b5571a5bd7409b">
              <w:r>
                <w:rPr>
                  <w:rStyle w:val="Hyperlink"/>
                </w:rPr>
                <w:t xml:space="preserve">https://www.aihw.gov.au/our-services/data-on-request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Stillbirths and neonatal deaths in Australia reporting, all statistical methods and concepts applied to NPMDC can be found in technical notes accompanying the report online at </w:t>
            </w:r>
            <w:hyperlink w:history="true" r:id="Raa0bf5f941954595">
              <w:r>
                <w:rPr>
                  <w:rStyle w:val="Hyperlink"/>
                </w:rPr>
                <w:t xml:space="preserve">https://www.aihw.gov.au/reports/mothers-babies/stillbirths-and-neonatal-deaths-in-australia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death of a baby during pregnancy, birth or within 28 days of birth can be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The PSANZ-PDC system classifies all perinatal deaths by the single most important factor seen as the antecedent cause of the perinatal death and is applied to both stillbirths (fetal deaths) and neonatal deaths (that is, to all perinatal deaths). The PSANZ-NDC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w:t>
            </w:r>
            <w:r>
              <w:rPr>
                <w:rStyle w:val="row-content-rich-text"/>
              </w:rPr>
              <w:t xml:space="preserve">orrected when verification of an error is supplied. The AIHW does not adjust the data to correct for missing values.</w:t>
            </w:r>
          </w:p>
          <w:p>
            <w:pPr>
              <w:spacing w:after="160"/>
            </w:pPr>
            <w:r>
              <w:rPr>
                <w:rStyle w:val="row-content-rich-text"/>
              </w:rPr>
              <w:t xml:space="preserve">Data items are supplied voluntarily to the NPMDC, resulting in a relatively high number of ‘Not supplied/stated’ values for some data items. In 2017, data items particularly affected by this issue include Reason autopsy not performed (95.2% not supplied/stated), Contributory factors: Assessment of factors performed (66.5% not supplied/stated), Post-mortem investigations performed indicator (48.0% not supplied/stated), and Place of death (41.8% not supplied/stated). </w:t>
            </w:r>
          </w:p>
          <w:p>
            <w:pPr>
              <w:spacing w:after="160"/>
            </w:pPr>
            <w:r>
              <w:rPr>
                <w:rStyle w:val="row-content-rich-text"/>
              </w:rPr>
              <w:t xml:space="preserve">In 2017, there were 2 deaths that were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AIHW perinatal mortality reports such as Stillbirths and neonatal deaths in Australia. The NPMDC is an ongoing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 </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9374595f484d82">
              <w:r>
                <w:rPr>
                  <w:rStyle w:val="Hyperlink"/>
                </w:rPr>
                <w:t xml:space="preserve">National Perinatal Mortality Data Collection, 2015–2016; Quality Statement</w:t>
              </w:r>
            </w:hyperlink>
          </w:p>
          <w:p>
            <w:pPr>
              <w:pStyle w:val="registration-status"/>
              <w:spacing w:before="0" w:after="0"/>
            </w:pPr>
            <w:hyperlink w:history="true" r:id="Rb4fd95e2f99e42ce">
              <w:r>
                <w:rPr>
                  <w:rStyle w:val="Hyperlink"/>
                  <w:color w:val="244061"/>
                </w:rPr>
                <w:t xml:space="preserve">AIHW Data Quality Statements</w:t>
              </w:r>
            </w:hyperlink>
            <w:r>
              <w:rPr>
                <w:rStyle w:val="row-content"/>
                <w:color w:val="244061"/>
              </w:rPr>
              <w:t xml:space="preserve">, Superseded 28/07/2020</w:t>
            </w:r>
          </w:p>
          <w:p>
            <w:r>
              <w:br/>
            </w:r>
            <w:r>
              <w:rPr>
                <w:rStyle w:val="row-content"/>
              </w:rPr>
              <w:t xml:space="preserve">Has been superseded by </w:t>
            </w:r>
            <w:hyperlink w:history="true" r:id="Rc92745c9117f4d87">
              <w:r>
                <w:rPr>
                  <w:rStyle w:val="Hyperlink"/>
                </w:rPr>
                <w:t xml:space="preserve">National Perinatal Mortality Data Collection, 2018; Quality Statement</w:t>
              </w:r>
            </w:hyperlink>
          </w:p>
          <w:p>
            <w:pPr>
              <w:pStyle w:val="registration-status"/>
              <w:spacing w:before="0" w:after="0"/>
            </w:pPr>
            <w:hyperlink w:history="true" r:id="Rb577e3ef9ab04aa9">
              <w:r>
                <w:rPr>
                  <w:rStyle w:val="Hyperlink"/>
                  <w:color w:val="244061"/>
                </w:rPr>
                <w:t xml:space="preserve">AIHW Data Quality Statements</w:t>
              </w:r>
            </w:hyperlink>
            <w:r>
              <w:rPr>
                <w:rStyle w:val="row-content"/>
                <w:color w:val="244061"/>
              </w:rPr>
              <w:t xml:space="preserve">, Superseded 18/11/2021</w:t>
            </w:r>
          </w:p>
          <w:p>
            <w:r>
              <w:br/>
            </w:r>
          </w:p>
        </w:tc>
      </w:tr>
    </w:tbl>
    <w:p>
      <w:r>
        <w:br/>
      </w:r>
    </w:p>
    <w:sectPr>
      <w:footerReference xmlns:r="http://schemas.openxmlformats.org/officeDocument/2006/relationships" w:type="default" r:id="Reeab1fce5902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307661d0d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ab1fce590244ba" /><Relationship Type="http://schemas.openxmlformats.org/officeDocument/2006/relationships/header" Target="/word/header1.xml" Id="R23073e0b648241a6" /><Relationship Type="http://schemas.openxmlformats.org/officeDocument/2006/relationships/settings" Target="/word/settings.xml" Id="R42005850ee704599" /><Relationship Type="http://schemas.openxmlformats.org/officeDocument/2006/relationships/styles" Target="/word/styles.xml" Id="R297389aee98a4f0f" /><Relationship Type="http://schemas.openxmlformats.org/officeDocument/2006/relationships/numbering" Target="/word/numbering.xml" Id="R270b96e3f0d94420" /><Relationship Type="http://schemas.openxmlformats.org/officeDocument/2006/relationships/hyperlink" Target="https://meteor.aihw.gov.au/RegistrationAuthority/5" TargetMode="External" Id="R4ce0f9fa3984431e" /><Relationship Type="http://schemas.openxmlformats.org/officeDocument/2006/relationships/hyperlink" Target="https://www.legislation.gov.au/Series/C2004A03450" TargetMode="External" Id="R39215b1fb46c433d" /><Relationship Type="http://schemas.openxmlformats.org/officeDocument/2006/relationships/hyperlink" Target="https://www.aihw.gov.au/about-us/our-governance" TargetMode="External" Id="Rad17d55c2bcb4a53" /><Relationship Type="http://schemas.openxmlformats.org/officeDocument/2006/relationships/hyperlink" Target="https://www.legislation.gov.au/Series/C2004A03450" TargetMode="External" Id="Rfdad8661214f42d8" /><Relationship Type="http://schemas.openxmlformats.org/officeDocument/2006/relationships/hyperlink" Target="https://www.legislation.gov.au/Series/C2004A03450" TargetMode="External" Id="Rbd1051c0337a4c7a" /><Relationship Type="http://schemas.openxmlformats.org/officeDocument/2006/relationships/hyperlink" Target="https://www.legislation.gov.au/Details/C2011C00503" TargetMode="External" Id="R7f74481a24da4260" /><Relationship Type="http://schemas.openxmlformats.org/officeDocument/2006/relationships/hyperlink" Target="http://www.aihw.gov.au/" TargetMode="External" Id="R4b4ef15bf29643b0" /><Relationship Type="http://schemas.openxmlformats.org/officeDocument/2006/relationships/hyperlink" Target="https://www.aihw.gov.au/reports/mothers-babies/stillbirths-and-neonatal-deaths-in-australia" TargetMode="External" Id="Rc023ee4f82da4333" /><Relationship Type="http://schemas.openxmlformats.org/officeDocument/2006/relationships/hyperlink" Target="https://www.aihw.gov.au/our-services/data-on-request" TargetMode="External" Id="Rb6b5571a5bd7409b" /><Relationship Type="http://schemas.openxmlformats.org/officeDocument/2006/relationships/hyperlink" Target="https://www.aihw.gov.au/reports/mothers-babies/stillbirths-and-neonatal-deaths-in-australia" TargetMode="External" Id="Raa0bf5f941954595" /><Relationship Type="http://schemas.openxmlformats.org/officeDocument/2006/relationships/hyperlink" Target="https://meteor.aihw.gov.au/content/717201" TargetMode="External" Id="R219374595f484d82" /><Relationship Type="http://schemas.openxmlformats.org/officeDocument/2006/relationships/hyperlink" Target="https://meteor.aihw.gov.au/RegistrationAuthority/5" TargetMode="External" Id="Rb4fd95e2f99e42ce" /><Relationship Type="http://schemas.openxmlformats.org/officeDocument/2006/relationships/hyperlink" Target="https://meteor.aihw.gov.au/content/734766" TargetMode="External" Id="Rc92745c9117f4d87" /><Relationship Type="http://schemas.openxmlformats.org/officeDocument/2006/relationships/hyperlink" Target="https://meteor.aihw.gov.au/RegistrationAuthority/5" TargetMode="External" Id="Rb577e3ef9ab04aa9" /></Relationships>
</file>

<file path=word/_rels/header1.xml.rels>&#65279;<?xml version="1.0" encoding="utf-8"?><Relationships xmlns="http://schemas.openxmlformats.org/package/2006/relationships"><Relationship Type="http://schemas.openxmlformats.org/officeDocument/2006/relationships/image" Target="/media/image.png" Id="Rfd4307661d0d4116" /></Relationships>
</file>