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8c3ebd4dad4ad3"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3.4.3–Major causes of death,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3.4.3–Major causes of death,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3.4.3–Major causes of death,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b7fc6560b74099">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for Indigenous people and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e40e6c14e94fd3">
              <w:r>
                <w:rPr>
                  <w:rStyle w:val="Hyperlink"/>
                </w:rPr>
                <w:t xml:space="preserve">Australian Health Performance Framework, 2020</w:t>
              </w:r>
            </w:hyperlink>
          </w:p>
          <w:p>
            <w:pPr>
              <w:spacing w:before="0" w:after="0"/>
            </w:pPr>
            <w:r>
              <w:rPr>
                <w:rStyle w:val="row-content"/>
                <w:color w:val="244061"/>
              </w:rPr>
              <w:t xml:space="preserve">       </w:t>
            </w:r>
            <w:hyperlink w:history="true" r:id="R353e5d558d6d48cd">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disaggregated by each International Classification of Diseases (ICD-10) chapter for underlying cause of death:</w:t>
            </w:r>
          </w:p>
          <w:p>
            <w:pPr>
              <w:pStyle w:val="ListParagraph"/>
              <w:numPr>
                <w:ilvl w:val="0"/>
                <w:numId w:val="2"/>
              </w:numPr>
            </w:pPr>
            <w:r>
              <w:rPr>
                <w:rStyle w:val="row-content-rich-text"/>
              </w:rPr>
              <w:t xml:space="preserve">Certain infectious and parasitic diseases (A00–B99)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Diseases of the blood and blood-forming organs and certain disorders involving the immune mechanism (D50–D89)</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Mental and behavioural disorders (F00–F99)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Diseases of the eye and adnexa (H00–H59)</w:t>
            </w:r>
          </w:p>
          <w:p>
            <w:pPr>
              <w:pStyle w:val="ListParagraph"/>
              <w:numPr>
                <w:ilvl w:val="0"/>
                <w:numId w:val="2"/>
              </w:numPr>
            </w:pPr>
            <w:r>
              <w:rPr>
                <w:rStyle w:val="row-content-rich-text"/>
              </w:rPr>
              <w:t xml:space="preserve">Diseases of the ear and mastoid process (H60–H95)</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Diseases of the skin and subcutaneous tissue (L00–L99)</w:t>
            </w:r>
          </w:p>
          <w:p>
            <w:pPr>
              <w:pStyle w:val="ListParagraph"/>
              <w:numPr>
                <w:ilvl w:val="0"/>
                <w:numId w:val="2"/>
              </w:numPr>
            </w:pPr>
            <w:r>
              <w:rPr>
                <w:rStyle w:val="row-content-rich-text"/>
              </w:rPr>
              <w:t xml:space="preserve">Diseases of the musculoskeletal system and connective tissue (M00–M99)</w:t>
            </w:r>
          </w:p>
          <w:p>
            <w:pPr>
              <w:pStyle w:val="ListParagraph"/>
              <w:numPr>
                <w:ilvl w:val="0"/>
                <w:numId w:val="2"/>
              </w:numPr>
            </w:pPr>
            <w:r>
              <w:rPr>
                <w:rStyle w:val="row-content-rich-text"/>
              </w:rPr>
              <w:t xml:space="preserve">Diseases of the genitourinary system (N00–N99)</w:t>
            </w:r>
          </w:p>
          <w:p>
            <w:pPr>
              <w:pStyle w:val="ListParagraph"/>
              <w:numPr>
                <w:ilvl w:val="0"/>
                <w:numId w:val="2"/>
              </w:numPr>
            </w:pPr>
            <w:r>
              <w:rPr>
                <w:rStyle w:val="row-content-rich-text"/>
              </w:rPr>
              <w:t xml:space="preserve">Pregnancy, childbirth and the puerperium (O00–O99)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Congenital malformations, deformations and chromosomal abnormalities (Q00–Q99)</w:t>
            </w:r>
          </w:p>
          <w:p>
            <w:pPr>
              <w:pStyle w:val="ListParagraph"/>
              <w:numPr>
                <w:ilvl w:val="0"/>
                <w:numId w:val="2"/>
              </w:numPr>
            </w:pPr>
            <w:r>
              <w:rPr>
                <w:rStyle w:val="row-content-rich-text"/>
              </w:rPr>
              <w:t xml:space="preserve">Symptoms, signs and abnormal clinical and laboratory findings, not elsewhere classified (R00–R99)</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8f73e9821bb64a92">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b5c87de7c75446ed">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cd3ddd9737644356">
              <w:r>
                <w:rPr>
                  <w:rStyle w:val="Hyperlink"/>
                </w:rPr>
                <w:t xml:space="preserve">Person—estimated resident population of Australia, total people N[N(7)]</w:t>
              </w:r>
            </w:hyperlink>
          </w:p>
          <w:p>
            <w:r>
              <w:rPr>
                <w:rStyle w:val="row-content"/>
                <w:b/>
              </w:rPr>
              <w:t xml:space="preserve">Data Source</w:t>
            </w:r>
          </w:p>
          <w:p>
            <w:hyperlink w:history="true" r:id="R579f115cce954803">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2018—Nationally, by underlying cause of death and sex.</w:t>
            </w:r>
          </w:p>
          <w:p>
            <w:pPr>
              <w:spacing w:after="160"/>
            </w:pPr>
            <w:r>
              <w:rPr>
                <w:rStyle w:val="row-content-rich-text"/>
              </w:rPr>
              <w:t xml:space="preserve">2017, 2018—State and territory, by underlying cause of death and sex.</w:t>
            </w:r>
          </w:p>
          <w:p>
            <w:pPr>
              <w:spacing w:after="160"/>
            </w:pPr>
            <w:r>
              <w:rPr>
                <w:rStyle w:val="row-content-rich-text"/>
              </w:rPr>
              <w:t xml:space="preserve">2017, 2018—Primary Health Network (PHN) by underlying cause of death and sex</w:t>
            </w:r>
          </w:p>
          <w:p>
            <w:pPr>
              <w:spacing w:after="160"/>
            </w:pPr>
            <w:r>
              <w:rPr>
                <w:rStyle w:val="row-content-rich-text"/>
              </w:rPr>
              <w:t xml:space="preserve">2014–2018—Nationally, by Indigenous status, underlying cause of death and sex.</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dc21a922b5d14415">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dade0243974632">
              <w:r>
                <w:rPr>
                  <w:rStyle w:val="Hyperlink"/>
                </w:rPr>
                <w:t xml:space="preserve">Person—Indigenous status, code N</w:t>
              </w:r>
            </w:hyperlink>
          </w:p>
          <w:p>
            <w:r>
              <w:rPr>
                <w:rStyle w:val="row-content"/>
                <w:b/>
              </w:rPr>
              <w:t xml:space="preserve">Data Source</w:t>
            </w:r>
          </w:p>
          <w:p>
            <w:hyperlink w:history="true" r:id="R019b8c9629cf45b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ec79bc837f431f">
              <w:r>
                <w:rPr>
                  <w:rStyle w:val="Hyperlink"/>
                </w:rPr>
                <w:t xml:space="preserve">Person—sex, code X</w:t>
              </w:r>
            </w:hyperlink>
          </w:p>
          <w:p>
            <w:r>
              <w:rPr>
                <w:rStyle w:val="row-content"/>
                <w:b/>
              </w:rPr>
              <w:t xml:space="preserve">Data Source</w:t>
            </w:r>
          </w:p>
          <w:p>
            <w:hyperlink w:history="true" r:id="R5e9b107d39ac47dc">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6fbdd4b1b94932">
              <w:r>
                <w:rPr>
                  <w:rStyle w:val="Hyperlink"/>
                </w:rPr>
                <w:t xml:space="preserve">Person—area of usual residence, statistical area level 2 (SA2) code (ASGS 2016) N(9)</w:t>
              </w:r>
            </w:hyperlink>
          </w:p>
          <w:p>
            <w:r>
              <w:rPr>
                <w:rStyle w:val="row-content"/>
                <w:b/>
              </w:rPr>
              <w:t xml:space="preserve">Data Source</w:t>
            </w:r>
          </w:p>
          <w:p>
            <w:hyperlink w:history="true" r:id="R3164231eb5694a92">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Primary Health Network</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w:t>
            </w:r>
          </w:p>
          <w:p>
            <w:pPr>
              <w:pStyle w:val="ListParagraph"/>
              <w:numPr>
                <w:ilvl w:val="0"/>
                <w:numId w:val="3"/>
              </w:numPr>
            </w:pPr>
            <w:r>
              <w:rPr>
                <w:rStyle w:val="row-content-rich-text"/>
              </w:rPr>
              <w:t xml:space="preserve">2018</w:t>
            </w:r>
          </w:p>
          <w:p>
            <w:pPr>
              <w:pStyle w:val="ListParagraph"/>
              <w:numPr>
                <w:ilvl w:val="0"/>
                <w:numId w:val="3"/>
              </w:numPr>
            </w:pPr>
            <w:r>
              <w:rPr>
                <w:rStyle w:val="row-content-rich-text"/>
              </w:rPr>
              <w:t xml:space="preserve">Aggregated data 2014–2018 (Indigenous status)</w:t>
            </w:r>
          </w:p>
          <w:p>
            <w:pPr>
              <w:spacing w:after="160"/>
            </w:pPr>
            <w:r>
              <w:rPr>
                <w:rStyle w:val="row-content-rich-text"/>
              </w:rPr>
              <w:t xml:space="preserve">Deaths registered in 2015 and earlier are based on the final version of cause of death data; deaths registered in 2016 are based on the revised version; and deaths registered in 2017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7f271771e9224202">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ICD-10 2006 version. 2013 data were coded using ICD-10 2013 version; 2014–2017 data were coded using ICD-10 2015 version; 2018 data were coded using ICD-10 2016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0e7f2fcd28444e">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cbafdecb954303">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d2908899c5d4a15">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6e3066bc85743e1">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bd45affc804e8b">
              <w:r>
                <w:rPr>
                  <w:rStyle w:val="Hyperlink"/>
                </w:rPr>
                <w:t xml:space="preserve">Australian Health Performance Framework: PI 3.4.3–Major causes of death, 2019</w:t>
              </w:r>
            </w:hyperlink>
          </w:p>
          <w:p>
            <w:pPr>
              <w:spacing w:before="0" w:after="0"/>
            </w:pPr>
            <w:r>
              <w:rPr>
                <w:rStyle w:val="row-content"/>
                <w:color w:val="244061"/>
              </w:rPr>
              <w:t xml:space="preserve">       </w:t>
            </w:r>
            <w:hyperlink w:history="true" r:id="R9e0f85b12b6e45ce">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58f50214ebac4b5a">
              <w:r>
                <w:rPr>
                  <w:rStyle w:val="Hyperlink"/>
                </w:rPr>
                <w:t xml:space="preserve">Australian Health Performance Framework: PI 3.4.3–Major causes of death, 2021</w:t>
              </w:r>
            </w:hyperlink>
          </w:p>
          <w:p>
            <w:pPr>
              <w:spacing w:before="0" w:after="0"/>
            </w:pPr>
            <w:r>
              <w:rPr>
                <w:rStyle w:val="row-content"/>
                <w:color w:val="244061"/>
              </w:rPr>
              <w:t xml:space="preserve">       </w:t>
            </w:r>
            <w:hyperlink w:history="true" r:id="R71f71a8bdf3c4288">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1244690c29984070">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7a05a1abfddd4237">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27bb4d17d00a4da5">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a5fc26c277db459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f17ce3c4cd947cf">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492f70a29089412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ae297df15b0e40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d839a91104e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97df15b0e409a" /><Relationship Type="http://schemas.openxmlformats.org/officeDocument/2006/relationships/header" Target="/word/header1.xml" Id="R6134409288df4678" /><Relationship Type="http://schemas.openxmlformats.org/officeDocument/2006/relationships/settings" Target="/word/settings.xml" Id="R98d9a8f85ce1429b" /><Relationship Type="http://schemas.openxmlformats.org/officeDocument/2006/relationships/styles" Target="/word/styles.xml" Id="R327015db087d4fe3" /><Relationship Type="http://schemas.openxmlformats.org/officeDocument/2006/relationships/hyperlink" Target="https://meteor.aihw.gov.au/RegistrationAuthority/12" TargetMode="External" Id="R46b7fc6560b74099" /><Relationship Type="http://schemas.openxmlformats.org/officeDocument/2006/relationships/hyperlink" Target="https://meteor.aihw.gov.au/content/728283" TargetMode="External" Id="Rb0e40e6c14e94fd3" /><Relationship Type="http://schemas.openxmlformats.org/officeDocument/2006/relationships/hyperlink" Target="https://meteor.aihw.gov.au/RegistrationAuthority/12" TargetMode="External" Id="R353e5d558d6d48cd" /><Relationship Type="http://schemas.openxmlformats.org/officeDocument/2006/relationships/numbering" Target="/word/numbering.xml" Id="R5e3a2f89f68c4d68" /><Relationship Type="http://schemas.openxmlformats.org/officeDocument/2006/relationships/hyperlink" Target="https://meteor.aihw.gov.au/content/395084" TargetMode="External" Id="R8f73e9821bb64a92" /><Relationship Type="http://schemas.openxmlformats.org/officeDocument/2006/relationships/hyperlink" Target="https://meteor.aihw.gov.au/content/719790" TargetMode="External" Id="Rb5c87de7c75446ed" /><Relationship Type="http://schemas.openxmlformats.org/officeDocument/2006/relationships/hyperlink" Target="https://meteor.aihw.gov.au/content/388656" TargetMode="External" Id="Rcd3ddd9737644356" /><Relationship Type="http://schemas.openxmlformats.org/officeDocument/2006/relationships/hyperlink" Target="https://meteor.aihw.gov.au/content/704699" TargetMode="External" Id="R579f115cce954803" /><Relationship Type="http://schemas.openxmlformats.org/officeDocument/2006/relationships/hyperlink" Target="https://meteor.aihw.gov.au/content/395084" TargetMode="External" Id="Rdc21a922b5d14415" /><Relationship Type="http://schemas.openxmlformats.org/officeDocument/2006/relationships/hyperlink" Target="https://meteor.aihw.gov.au/content/602543" TargetMode="External" Id="Rb2dade0243974632" /><Relationship Type="http://schemas.openxmlformats.org/officeDocument/2006/relationships/hyperlink" Target="https://meteor.aihw.gov.au/content/395084" TargetMode="External" Id="R019b8c9629cf45b3" /><Relationship Type="http://schemas.openxmlformats.org/officeDocument/2006/relationships/hyperlink" Target="https://meteor.aihw.gov.au/content/635126" TargetMode="External" Id="R86ec79bc837f431f" /><Relationship Type="http://schemas.openxmlformats.org/officeDocument/2006/relationships/hyperlink" Target="https://meteor.aihw.gov.au/content/395084" TargetMode="External" Id="R5e9b107d39ac47dc" /><Relationship Type="http://schemas.openxmlformats.org/officeDocument/2006/relationships/hyperlink" Target="https://meteor.aihw.gov.au/content/659725" TargetMode="External" Id="Ref6fbdd4b1b94932" /><Relationship Type="http://schemas.openxmlformats.org/officeDocument/2006/relationships/hyperlink" Target="https://meteor.aihw.gov.au/content/395084" TargetMode="External" Id="R3164231eb5694a92" /><Relationship Type="http://schemas.openxmlformats.org/officeDocument/2006/relationships/hyperlink" Target="http://www.abs.gov.au/ausstats/abs@.nsf/Lookup/3303.0Technical+Note12013" TargetMode="External" Id="R7f271771e9224202" /><Relationship Type="http://schemas.openxmlformats.org/officeDocument/2006/relationships/hyperlink" Target="https://meteor.aihw.gov.au/content/721652" TargetMode="External" Id="R880e7f2fcd28444e" /><Relationship Type="http://schemas.openxmlformats.org/officeDocument/2006/relationships/hyperlink" Target="https://meteor.aihw.gov.au/content/719790" TargetMode="External" Id="Ra7cbafdecb954303" /><Relationship Type="http://schemas.openxmlformats.org/officeDocument/2006/relationships/hyperlink" Target="https://meteor.aihw.gov.au/content/395084" TargetMode="External" Id="Red2908899c5d4a15" /><Relationship Type="http://schemas.openxmlformats.org/officeDocument/2006/relationships/hyperlink" Target="https://meteor.aihw.gov.au/content/704699" TargetMode="External" Id="R16e3066bc85743e1" /><Relationship Type="http://schemas.openxmlformats.org/officeDocument/2006/relationships/hyperlink" Target="https://meteor.aihw.gov.au/content/715311" TargetMode="External" Id="Rb8bd45affc804e8b" /><Relationship Type="http://schemas.openxmlformats.org/officeDocument/2006/relationships/hyperlink" Target="https://meteor.aihw.gov.au/RegistrationAuthority/12" TargetMode="External" Id="R9e0f85b12b6e45ce" /><Relationship Type="http://schemas.openxmlformats.org/officeDocument/2006/relationships/hyperlink" Target="https://meteor.aihw.gov.au/content/765828" TargetMode="External" Id="R58f50214ebac4b5a" /><Relationship Type="http://schemas.openxmlformats.org/officeDocument/2006/relationships/hyperlink" Target="https://meteor.aihw.gov.au/RegistrationAuthority/12" TargetMode="External" Id="R71f71a8bdf3c4288" /><Relationship Type="http://schemas.openxmlformats.org/officeDocument/2006/relationships/hyperlink" Target="https://meteor.aihw.gov.au/content/728337" TargetMode="External" Id="R1244690c29984070" /><Relationship Type="http://schemas.openxmlformats.org/officeDocument/2006/relationships/hyperlink" Target="https://meteor.aihw.gov.au/RegistrationAuthority/12" TargetMode="External" Id="R7a05a1abfddd4237" /><Relationship Type="http://schemas.openxmlformats.org/officeDocument/2006/relationships/hyperlink" Target="https://meteor.aihw.gov.au/content/716346" TargetMode="External" Id="R27bb4d17d00a4da5" /><Relationship Type="http://schemas.openxmlformats.org/officeDocument/2006/relationships/hyperlink" Target="https://meteor.aihw.gov.au/RegistrationAuthority/12" TargetMode="External" Id="Ra5fc26c277db4594" /><Relationship Type="http://schemas.openxmlformats.org/officeDocument/2006/relationships/hyperlink" Target="https://meteor.aihw.gov.au/content/740880" TargetMode="External" Id="R2f17ce3c4cd947cf" /><Relationship Type="http://schemas.openxmlformats.org/officeDocument/2006/relationships/hyperlink" Target="https://meteor.aihw.gov.au/RegistrationAuthority/12" TargetMode="External" Id="R492f70a29089412a" /></Relationships>
</file>

<file path=word/_rels/header1.xml.rels>&#65279;<?xml version="1.0" encoding="utf-8"?><Relationships xmlns="http://schemas.openxmlformats.org/package/2006/relationships"><Relationship Type="http://schemas.openxmlformats.org/officeDocument/2006/relationships/image" Target="/media/image.png" Id="R569d839a91104ef9" /></Relationships>
</file>