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25a3d8b82d44dad" /></Relationships>
</file>

<file path=word/document.xml><?xml version="1.0" encoding="utf-8"?>
<w:document xmlns:r="http://schemas.openxmlformats.org/officeDocument/2006/relationships" xmlns:w="http://schemas.openxmlformats.org/wordprocessingml/2006/main">
  <w:body>
    <w:p>
      <w:pPr>
        <w:pStyle w:val="Title"/>
      </w:pPr>
      <w:r>
        <w:t>Australian Health Performance Framework: PI 3.4.2–Life expectancy, 2020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Health Performance Framework: PI 3.4.2–Life expectancy,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AHPF PI 3.4.2–Life expectancy,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728474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a8d24a75f874cdd">
              <w:r>
                <w:rPr>
                  <w:rStyle w:val="Hyperlink"/>
                  <w:color w:val="244061"/>
                </w:rPr>
                <w:t xml:space="preserve">Health</w:t>
              </w:r>
            </w:hyperlink>
            <w:r>
              <w:rPr>
                <w:rStyle w:val="row-content"/>
                <w:color w:val="244061"/>
              </w:rPr>
              <w:t xml:space="preserve">, Superseded 11/07/2023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average number of years a person could expect to live if they experienced the age/sex specific death rates that applied at their birth throughout their lifetime.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df41b95f9db14df1">
              <w:r>
                <w:rPr>
                  <w:rStyle w:val="Hyperlink"/>
                </w:rPr>
                <w:t xml:space="preserve">Australian Health Performance Framework, 2020</w:t>
              </w:r>
            </w:hyperlink>
          </w:p>
          <w:p>
            <w:pPr>
              <w:spacing w:before="0" w:after="0"/>
            </w:pPr>
            <w:r>
              <w:rPr>
                <w:rStyle w:val="row-content"/>
                <w:color w:val="244061"/>
              </w:rPr>
              <w:t xml:space="preserve">       </w:t>
            </w:r>
            <w:hyperlink w:history="true" r:id="R3a3a206a206f4bcf">
              <w:r>
                <w:rPr>
                  <w:rStyle w:val="Hyperlink"/>
                  <w:color w:val="244061"/>
                </w:rPr>
                <w:t xml:space="preserve">Health</w:t>
              </w:r>
            </w:hyperlink>
            <w:r>
              <w:rPr>
                <w:rStyle w:val="row-content"/>
                <w:color w:val="244061"/>
              </w:rPr>
              <w:t xml:space="preserve">, Superseded 11/07/2023</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Life expectancy for total population is calculated for a rolling 3-year period and reported annually.</w:t>
            </w:r>
          </w:p>
          <w:p>
            <w:pPr>
              <w:spacing w:after="160"/>
            </w:pPr>
            <w:r>
              <w:rPr>
                <w:rStyle w:val="row-content-rich-text"/>
              </w:rPr>
              <w:t xml:space="preserve">Life expectancy for Indigenous and non-Indigenous populations is calculated for a rolling 3-year period and reported every 5 years.</w:t>
            </w:r>
          </w:p>
          <w:p>
            <w:pPr>
              <w:spacing w:after="160"/>
            </w:pPr>
            <w:r>
              <w:rPr>
                <w:rStyle w:val="row-content-rich-text"/>
              </w:rPr>
              <w:t xml:space="preserve">Presented as:</w:t>
            </w:r>
          </w:p>
          <w:p>
            <w:pPr>
              <w:pStyle w:val="ListParagraph"/>
              <w:numPr>
                <w:ilvl w:val="0"/>
                <w:numId w:val="2"/>
              </w:numPr>
            </w:pPr>
            <w:r>
              <w:rPr>
                <w:rStyle w:val="row-content-rich-text"/>
              </w:rPr>
              <w:t xml:space="preserve">number of years</w:t>
            </w:r>
          </w:p>
          <w:p>
            <w:pPr>
              <w:pStyle w:val="ListParagraph"/>
              <w:numPr>
                <w:ilvl w:val="0"/>
                <w:numId w:val="2"/>
              </w:numPr>
            </w:pPr>
            <w:r>
              <w:rPr>
                <w:rStyle w:val="row-content-rich-text"/>
              </w:rPr>
              <w:t xml:space="preserve">difference between Indigenous and non-Indigenous life expectancies at birth</w:t>
            </w:r>
          </w:p>
          <w:p>
            <w:pPr>
              <w:pStyle w:val="ListParagraph"/>
              <w:numPr>
                <w:ilvl w:val="0"/>
                <w:numId w:val="2"/>
              </w:numPr>
            </w:pPr>
            <w:r>
              <w:rPr>
                <w:rStyle w:val="row-content-rich-text"/>
              </w:rPr>
              <w:t xml:space="preserve">difference between male and female life expectancies at birth (total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Calculated by direct estimation of life expectancy for all Australians, Indigenous and non-Indigenous Australians using the average number of deaths in the 3-year period and the estimated resident population at the mid-point of that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indicator does not have a numerator or denominator. The average number of years a person could expect to live from the day they are born if they experienced mortality rates at each age that are currently experienced by the relevant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Number of years of life expectancy at birth</w:t>
            </w:r>
          </w:p>
          <w:p>
            <w:r>
              <w:rPr>
                <w:rStyle w:val="row-content"/>
              </w:rPr>
              <w:t xml:space="preserve"> </w:t>
            </w:r>
          </w:p>
          <w:p>
            <w:r>
              <w:rPr>
                <w:rStyle w:val="row-content"/>
                <w:b/>
              </w:rPr>
              <w:t xml:space="preserve">Data Source</w:t>
            </w:r>
          </w:p>
          <w:p>
            <w:hyperlink w:history="true" r:id="R778d66f0f9a24b8f">
              <w:r>
                <w:rPr>
                  <w:rStyle w:val="Hyperlink"/>
                </w:rPr>
                <w:t xml:space="preserve">ABS Life Tables</w:t>
              </w:r>
            </w:hyperlink>
          </w:p>
          <w:p>
            <w:r>
              <w:rPr>
                <w:rStyle w:val="row-content"/>
                <w:b/>
              </w:rPr>
              <w:t xml:space="preserve">Guide for use</w:t>
            </w:r>
          </w:p>
          <w:p>
            <w:r>
              <w:rPr>
                <w:rStyle w:val="row-content"/>
              </w:rPr>
              <w:t xml:space="preserve"> </w:t>
            </w:r>
          </w:p>
          <w:p>
            <w:r>
              <w:rPr>
                <w:rStyle w:val="row-content"/>
              </w:rPr>
              <w:t xml:space="preserve">Data source type: Census based and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Number of years of life expectancy at birth.</w:t>
            </w:r>
          </w:p>
          <w:p>
            <w:r>
              <w:rPr>
                <w:rStyle w:val="row-content"/>
              </w:rPr>
              <w:t xml:space="preserve"> </w:t>
            </w:r>
          </w:p>
          <w:p>
            <w:r>
              <w:rPr>
                <w:rStyle w:val="row-content"/>
                <w:b/>
              </w:rPr>
              <w:t xml:space="preserve">Data Source</w:t>
            </w:r>
          </w:p>
          <w:p>
            <w:hyperlink w:history="true" r:id="R854a7d2793fe4d88">
              <w:r>
                <w:rPr>
                  <w:rStyle w:val="Hyperlink"/>
                </w:rPr>
                <w:t xml:space="preserve">ABS Life Tables for Aboriginal and Torres Strait Islander Australians</w:t>
              </w:r>
            </w:hyperlink>
          </w:p>
          <w:p>
            <w:r>
              <w:rPr>
                <w:rStyle w:val="row-content"/>
                <w:b/>
              </w:rPr>
              <w:t xml:space="preserve">Guide for use</w:t>
            </w:r>
          </w:p>
          <w:p>
            <w:r>
              <w:rPr>
                <w:rStyle w:val="row-content"/>
              </w:rPr>
              <w:t xml:space="preserve"> </w:t>
            </w:r>
          </w:p>
          <w:p>
            <w:r>
              <w:rPr>
                <w:rStyle w:val="row-content"/>
              </w:rPr>
              <w:t xml:space="preserve">Data source type: Census based and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2000–2002 to 2016–2018—Nationally, by sex.</w:t>
            </w:r>
          </w:p>
          <w:p>
            <w:pPr>
              <w:spacing w:after="160"/>
            </w:pPr>
            <w:r>
              <w:rPr>
                <w:rStyle w:val="row-content-rich-text"/>
              </w:rPr>
              <w:t xml:space="preserve">2009–20011 to 2016–2018—State and territory, by sex.</w:t>
            </w:r>
          </w:p>
          <w:p>
            <w:pPr>
              <w:spacing w:after="160"/>
            </w:pPr>
            <w:r>
              <w:rPr>
                <w:rStyle w:val="row-content-rich-text"/>
              </w:rPr>
              <w:t xml:space="preserve">2011–2013 to 2016–2018—Primary Health Network (PHN), by sex.</w:t>
            </w:r>
          </w:p>
          <w:p>
            <w:pPr>
              <w:spacing w:after="160"/>
            </w:pPr>
            <w:r>
              <w:rPr>
                <w:rStyle w:val="row-content-rich-text"/>
              </w:rPr>
              <w:t xml:space="preserve">Greater Capital City Statistical Area (GCCSA), by sex (not reported).</w:t>
            </w:r>
          </w:p>
          <w:p>
            <w:pPr>
              <w:spacing w:after="160"/>
            </w:pPr>
            <w:r>
              <w:rPr>
                <w:rStyle w:val="row-content-rich-text"/>
              </w:rPr>
              <w:t xml:space="preserve">Statistical Area Level 4 (SA4) by sex (not reported).</w:t>
            </w:r>
          </w:p>
          <w:p>
            <w:pPr>
              <w:spacing w:after="160"/>
            </w:pPr>
            <w:r>
              <w:rPr>
                <w:rStyle w:val="row-content-rich-text"/>
              </w:rPr>
              <w:t xml:space="preserve">2005–2007, 2010–2012, 2015–2017—Nationally, by Indigenous status and sex.</w:t>
            </w:r>
          </w:p>
          <w:p>
            <w:pPr>
              <w:spacing w:after="160"/>
            </w:pPr>
            <w:r>
              <w:rPr>
                <w:rStyle w:val="row-content-rich-text"/>
              </w:rPr>
              <w:t xml:space="preserve">2005–2007, 2010–2012, 2015–2017—State and territory, by Indigenous status and sex.</w:t>
            </w:r>
          </w:p>
          <w:p>
            <w:pPr>
              <w:spacing w:after="160"/>
            </w:pPr>
            <w:r>
              <w:rPr>
                <w:rStyle w:val="row-content-rich-text"/>
              </w:rPr>
              <w:t xml:space="preserve">2015–2017—Nationally, by sex and remoteness area (Major Cities, Inner Regional and Outer Regional combined, Remote and Very Remote combined).</w:t>
            </w:r>
          </w:p>
          <w:p>
            <w:pPr/>
            <w:r>
              <w:rPr>
                <w:rStyle w:val="row-content-rich-text"/>
              </w:rPr>
              <w:t xml:space="preserve">Estimates of life expectancy at birth by Indigenous status and state/territory are based on data from 4 jurisdictions for which the number of Aboriginal and Torres Strait Islander deaths is considered acceptable for reliable estimates – New South Wales, Queensland, Western Australia and the Northern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3bf773f5b414607">
              <w:r>
                <w:rPr>
                  <w:rStyle w:val="Hyperlink"/>
                </w:rPr>
                <w:t xml:space="preserve">Person—Indigenous status, code N</w:t>
              </w:r>
            </w:hyperlink>
          </w:p>
          <w:p>
            <w:r>
              <w:rPr>
                <w:rStyle w:val="row-content"/>
                <w:b/>
              </w:rPr>
              <w:t xml:space="preserve">Data Source</w:t>
            </w:r>
          </w:p>
          <w:p>
            <w:hyperlink w:history="true" r:id="R2441f1c2efc0477c">
              <w:r>
                <w:rPr>
                  <w:rStyle w:val="Hyperlink"/>
                </w:rPr>
                <w:t xml:space="preserve">ABS Life Tables for Aboriginal and Torres Strait Islander Australians</w:t>
              </w:r>
            </w:hyperlink>
          </w:p>
          <w:p>
            <w:r>
              <w:rPr>
                <w:rStyle w:val="row-content"/>
                <w:b/>
              </w:rPr>
              <w:t xml:space="preserve">Guide for use</w:t>
            </w:r>
          </w:p>
          <w:p>
            <w:r>
              <w:rPr>
                <w:rStyle w:val="row-content"/>
              </w:rPr>
              <w:t xml:space="preserve"> </w:t>
            </w:r>
          </w:p>
          <w:p>
            <w:r>
              <w:rPr>
                <w:rStyle w:val="row-content"/>
              </w:rPr>
              <w:t xml:space="preserve">Data source type: Census based and administrative by-product data</w:t>
            </w:r>
          </w:p>
          <w:p>
            <w:r>
              <w:rPr>
                <w:rStyle w:val="row-content"/>
              </w:rPr>
              <w:t xml:space="preserve"> </w:t>
            </w:r>
          </w:p>
          <w:p>
            <w:r>
              <w:rPr>
                <w:rStyle w:val="row-content"/>
                <w:b/>
                <w:color w:val="000000"/>
              </w:rPr>
              <w:t xml:space="preserve">Data Element / Data Set</w:t>
            </w:r>
          </w:p>
          <w:p>
            <w:hyperlink w:history="true" r:id="Re02669a3b2504f7a">
              <w:r>
                <w:rPr>
                  <w:rStyle w:val="Hyperlink"/>
                </w:rPr>
                <w:t xml:space="preserve">Person—sex, code X</w:t>
              </w:r>
            </w:hyperlink>
          </w:p>
          <w:p>
            <w:r>
              <w:rPr>
                <w:rStyle w:val="row-content"/>
                <w:b/>
              </w:rPr>
              <w:t xml:space="preserve">Data Source</w:t>
            </w:r>
          </w:p>
          <w:p>
            <w:hyperlink w:history="true" r:id="Rce18e3365fa24c35">
              <w:r>
                <w:rPr>
                  <w:rStyle w:val="Hyperlink"/>
                </w:rPr>
                <w:t xml:space="preserve">ABS Life Tables</w:t>
              </w:r>
            </w:hyperlink>
          </w:p>
          <w:p>
            <w:r>
              <w:rPr>
                <w:rStyle w:val="row-content"/>
                <w:b/>
              </w:rPr>
              <w:t xml:space="preserve">Guide for use</w:t>
            </w:r>
          </w:p>
          <w:p>
            <w:r>
              <w:rPr>
                <w:rStyle w:val="row-content"/>
              </w:rPr>
              <w:t xml:space="preserve"> </w:t>
            </w:r>
          </w:p>
          <w:p>
            <w:r>
              <w:rPr>
                <w:rStyle w:val="row-content"/>
              </w:rPr>
              <w:t xml:space="preserve">Data source type: Census based and administrative by-product data</w:t>
            </w:r>
          </w:p>
          <w:p>
            <w:r>
              <w:rPr>
                <w:rStyle w:val="row-content"/>
              </w:rPr>
              <w:t xml:space="preserve"> </w:t>
            </w:r>
          </w:p>
          <w:p>
            <w:r>
              <w:rPr>
                <w:rStyle w:val="row-content"/>
                <w:b/>
                <w:color w:val="000000"/>
              </w:rPr>
              <w:t xml:space="preserve">Data Element / Data Set</w:t>
            </w:r>
          </w:p>
          <w:p>
            <w:hyperlink w:history="true" r:id="R1e449be010614d0e">
              <w:r>
                <w:rPr>
                  <w:rStyle w:val="Hyperlink"/>
                </w:rPr>
                <w:t xml:space="preserve">Person—area of usual residence, statistical area level 2 (SA2) code (ASGS 2016) N(9)</w:t>
              </w:r>
            </w:hyperlink>
          </w:p>
          <w:p>
            <w:r>
              <w:rPr>
                <w:rStyle w:val="row-content"/>
                <w:b/>
              </w:rPr>
              <w:t xml:space="preserve">Data Source</w:t>
            </w:r>
          </w:p>
          <w:p>
            <w:hyperlink w:history="true" r:id="R8f0820678fca4215">
              <w:r>
                <w:rPr>
                  <w:rStyle w:val="Hyperlink"/>
                </w:rPr>
                <w:t xml:space="preserve">ABS Life Tables</w:t>
              </w:r>
            </w:hyperlink>
          </w:p>
          <w:p>
            <w:r>
              <w:rPr>
                <w:rStyle w:val="row-content"/>
                <w:b/>
              </w:rPr>
              <w:t xml:space="preserve">Guide for use</w:t>
            </w:r>
          </w:p>
          <w:p>
            <w:r>
              <w:rPr>
                <w:rStyle w:val="row-content"/>
              </w:rPr>
              <w:t xml:space="preserve"> </w:t>
            </w:r>
          </w:p>
          <w:p>
            <w:r>
              <w:rPr>
                <w:rStyle w:val="row-content"/>
              </w:rPr>
              <w:t xml:space="preserve">Data source type: Census based and administrative by-product data</w:t>
            </w:r>
            <w:r>
              <w:br/>
            </w:r>
            <w:r>
              <w:rPr>
                <w:rStyle w:val="row-content"/>
              </w:rPr>
              <w:t xml:space="preserve">Used for disaggregation by state/territory, PHN, GCCA, SA4 and remoteness</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2020 Australian Health Performance Framework reporting: 2016–18.</w:t>
            </w:r>
          </w:p>
          <w:p>
            <w:pPr/>
            <w:r>
              <w:rPr>
                <w:rStyle w:val="row-content-rich-text"/>
              </w:rPr>
              <w:t xml:space="preserve">Indigenous estimates of life expectancy are not produced for Victoria, South Australia, Tasmania or the Australian Capital Territory due to the small number of Indigenous deaths reported in these jurisdictions.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Mean (average)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Time (e.g. days,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8cab38742d874512">
              <w:r>
                <w:rPr>
                  <w:rStyle w:val="Hyperlink"/>
                </w:rPr>
                <w:t xml:space="preserve">4. Deaths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ff059360e4e244d8">
              <w:r>
                <w:rPr>
                  <w:rStyle w:val="Hyperlink"/>
                </w:rPr>
                <w:t xml:space="preserve">ABS Life Tables for Aboriginal and Torres Strait Islander Australians</w:t>
              </w:r>
            </w:hyperlink>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9444b3bfdb8a4474">
              <w:r>
                <w:rPr>
                  <w:rStyle w:val="Hyperlink"/>
                </w:rPr>
                <w:t xml:space="preserve">ABS Life Tables</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Health Performance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dd326584ea34e77">
              <w:r>
                <w:rPr>
                  <w:rStyle w:val="Hyperlink"/>
                </w:rPr>
                <w:t xml:space="preserve">Australian Health Performance Framework: PI 3.4.2–Life expectancy, 2019</w:t>
              </w:r>
            </w:hyperlink>
          </w:p>
          <w:p>
            <w:pPr>
              <w:spacing w:before="0" w:after="0"/>
            </w:pPr>
            <w:r>
              <w:rPr>
                <w:rStyle w:val="row-content"/>
                <w:color w:val="244061"/>
              </w:rPr>
              <w:t xml:space="preserve">       </w:t>
            </w:r>
            <w:hyperlink w:history="true" r:id="R3f8b2f6694c24fab">
              <w:r>
                <w:rPr>
                  <w:rStyle w:val="Hyperlink"/>
                  <w:color w:val="244061"/>
                </w:rPr>
                <w:t xml:space="preserve">Health</w:t>
              </w:r>
            </w:hyperlink>
            <w:r>
              <w:rPr>
                <w:rStyle w:val="row-content"/>
                <w:color w:val="244061"/>
              </w:rPr>
              <w:t xml:space="preserve">, Superseded 13/10/2021</w:t>
            </w:r>
          </w:p>
          <w:p>
            <w:r>
              <w:br/>
            </w:r>
            <w:r>
              <w:rPr>
                <w:rStyle w:val="row-content"/>
              </w:rPr>
              <w:t xml:space="preserve">Has been superseded by </w:t>
            </w:r>
            <w:hyperlink w:history="true" r:id="Rd913bf69c85043e7">
              <w:r>
                <w:rPr>
                  <w:rStyle w:val="Hyperlink"/>
                </w:rPr>
                <w:t xml:space="preserve">Australian Health Performance Framework: PI 3.4.2–Life expectancy, 2021</w:t>
              </w:r>
            </w:hyperlink>
          </w:p>
          <w:p>
            <w:pPr>
              <w:spacing w:before="0" w:after="0"/>
            </w:pPr>
            <w:r>
              <w:rPr>
                <w:rStyle w:val="row-content"/>
                <w:color w:val="244061"/>
              </w:rPr>
              <w:t xml:space="preserve">       </w:t>
            </w:r>
            <w:hyperlink w:history="true" r:id="R9035c6d5a6a542de">
              <w:r>
                <w:rPr>
                  <w:rStyle w:val="Hyperlink"/>
                  <w:color w:val="244061"/>
                </w:rPr>
                <w:t xml:space="preserve">Health</w:t>
              </w:r>
            </w:hyperlink>
            <w:r>
              <w:rPr>
                <w:rStyle w:val="row-content"/>
                <w:color w:val="244061"/>
              </w:rPr>
              <w:t xml:space="preserve">, Standard 11/07/2023</w:t>
            </w:r>
          </w:p>
          <w:p>
            <w:r>
              <w:br/>
            </w:r>
            <w:r>
              <w:rPr>
                <w:rStyle w:val="row-content"/>
              </w:rPr>
              <w:t xml:space="preserve">See also </w:t>
            </w:r>
            <w:hyperlink w:history="true" r:id="R639a89205bf344c1">
              <w:r>
                <w:rPr>
                  <w:rStyle w:val="Hyperlink"/>
                </w:rPr>
                <w:t xml:space="preserve">Australian Health Performance Framework: PI 2.1.6–Potentially avoidable deaths, 2020</w:t>
              </w:r>
            </w:hyperlink>
          </w:p>
          <w:p>
            <w:pPr>
              <w:spacing w:before="0" w:after="0"/>
            </w:pPr>
            <w:r>
              <w:rPr>
                <w:rStyle w:val="row-content"/>
                <w:color w:val="244061"/>
              </w:rPr>
              <w:t xml:space="preserve">       </w:t>
            </w:r>
            <w:hyperlink w:history="true" r:id="R8ac9502598fb486b">
              <w:r>
                <w:rPr>
                  <w:rStyle w:val="Hyperlink"/>
                  <w:color w:val="244061"/>
                </w:rPr>
                <w:t xml:space="preserve">Health</w:t>
              </w:r>
            </w:hyperlink>
            <w:r>
              <w:rPr>
                <w:rStyle w:val="row-content"/>
                <w:color w:val="244061"/>
              </w:rPr>
              <w:t xml:space="preserve">, Superseded 31/03/2023</w:t>
            </w:r>
          </w:p>
          <w:p>
            <w:r>
              <w:br/>
            </w:r>
            <w:r>
              <w:rPr>
                <w:rStyle w:val="row-content"/>
              </w:rPr>
              <w:t xml:space="preserve">See also </w:t>
            </w:r>
            <w:hyperlink w:history="true" r:id="R71472956961c4416">
              <w:r>
                <w:rPr>
                  <w:rStyle w:val="Hyperlink"/>
                </w:rPr>
                <w:t xml:space="preserve">National Healthcare Agreement: PI 06–Life expectancy, 2020</w:t>
              </w:r>
            </w:hyperlink>
          </w:p>
          <w:p>
            <w:pPr>
              <w:spacing w:before="0" w:after="0"/>
            </w:pPr>
            <w:r>
              <w:rPr>
                <w:rStyle w:val="row-content"/>
                <w:color w:val="244061"/>
              </w:rPr>
              <w:t xml:space="preserve">       </w:t>
            </w:r>
            <w:hyperlink w:history="true" r:id="R95f69619e23e498b">
              <w:r>
                <w:rPr>
                  <w:rStyle w:val="Hyperlink"/>
                  <w:color w:val="244061"/>
                </w:rPr>
                <w:t xml:space="preserve">Health</w:t>
              </w:r>
            </w:hyperlink>
            <w:r>
              <w:rPr>
                <w:rStyle w:val="row-content"/>
                <w:color w:val="244061"/>
              </w:rPr>
              <w:t xml:space="preserve">, Standard 13/03/2020</w:t>
            </w:r>
          </w:p>
          <w:p>
            <w:r>
              <w:br/>
            </w:r>
            <w:r>
              <w:rPr>
                <w:rStyle w:val="row-content"/>
              </w:rPr>
              <w:t xml:space="preserve">See also </w:t>
            </w:r>
            <w:hyperlink w:history="true" r:id="Rb4bbcbacd9a94c1e">
              <w:r>
                <w:rPr>
                  <w:rStyle w:val="Hyperlink"/>
                </w:rPr>
                <w:t xml:space="preserve">National Healthcare Agreement: PI 06–Life expectancy, 2022</w:t>
              </w:r>
            </w:hyperlink>
          </w:p>
          <w:p>
            <w:pPr>
              <w:spacing w:before="0" w:after="0"/>
            </w:pPr>
            <w:r>
              <w:rPr>
                <w:rStyle w:val="row-content"/>
                <w:color w:val="244061"/>
              </w:rPr>
              <w:t xml:space="preserve">       </w:t>
            </w:r>
            <w:hyperlink w:history="true" r:id="R0a51b3a434d640ef">
              <w:r>
                <w:rPr>
                  <w:rStyle w:val="Hyperlink"/>
                  <w:color w:val="244061"/>
                </w:rPr>
                <w:t xml:space="preserve">Health</w:t>
              </w:r>
            </w:hyperlink>
            <w:r>
              <w:rPr>
                <w:rStyle w:val="row-content"/>
                <w:color w:val="244061"/>
              </w:rPr>
              <w:t xml:space="preserve">, Standard 24/09/2021</w:t>
            </w:r>
          </w:p>
          <w:p>
            <w:r>
              <w:br/>
            </w:r>
          </w:p>
        </w:tc>
      </w:tr>
    </w:tbl>
    <w:p>
      <w:r>
        <w:br/>
      </w:r>
    </w:p>
    <w:sectPr>
      <w:footerReference xmlns:r="http://schemas.openxmlformats.org/officeDocument/2006/relationships" w:type="default" r:id="Rc6df02cc20e84d2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728474</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4ed936b70a84c8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6df02cc20e84d23" /><Relationship Type="http://schemas.openxmlformats.org/officeDocument/2006/relationships/header" Target="/word/header1.xml" Id="R58b3da9749724ff5" /><Relationship Type="http://schemas.openxmlformats.org/officeDocument/2006/relationships/settings" Target="/word/settings.xml" Id="R3510364e47ae48e4" /><Relationship Type="http://schemas.openxmlformats.org/officeDocument/2006/relationships/styles" Target="/word/styles.xml" Id="Rb7ba27c1987a498b" /><Relationship Type="http://schemas.openxmlformats.org/officeDocument/2006/relationships/hyperlink" Target="https://meteor.aihw.gov.au/RegistrationAuthority/12" TargetMode="External" Id="Rba8d24a75f874cdd" /><Relationship Type="http://schemas.openxmlformats.org/officeDocument/2006/relationships/hyperlink" Target="https://meteor.aihw.gov.au/content/728283" TargetMode="External" Id="Rdf41b95f9db14df1" /><Relationship Type="http://schemas.openxmlformats.org/officeDocument/2006/relationships/hyperlink" Target="https://meteor.aihw.gov.au/RegistrationAuthority/12" TargetMode="External" Id="R3a3a206a206f4bcf" /><Relationship Type="http://schemas.openxmlformats.org/officeDocument/2006/relationships/numbering" Target="/word/numbering.xml" Id="R8d3f5c06e31d4f1a" /><Relationship Type="http://schemas.openxmlformats.org/officeDocument/2006/relationships/hyperlink" Target="https://meteor.aihw.gov.au/content/402041" TargetMode="External" Id="R778d66f0f9a24b8f" /><Relationship Type="http://schemas.openxmlformats.org/officeDocument/2006/relationships/hyperlink" Target="https://meteor.aihw.gov.au/content/724838" TargetMode="External" Id="R854a7d2793fe4d88" /><Relationship Type="http://schemas.openxmlformats.org/officeDocument/2006/relationships/hyperlink" Target="https://meteor.aihw.gov.au/content/602543" TargetMode="External" Id="R63bf773f5b414607" /><Relationship Type="http://schemas.openxmlformats.org/officeDocument/2006/relationships/hyperlink" Target="https://meteor.aihw.gov.au/content/724838" TargetMode="External" Id="R2441f1c2efc0477c" /><Relationship Type="http://schemas.openxmlformats.org/officeDocument/2006/relationships/hyperlink" Target="https://meteor.aihw.gov.au/content/635126" TargetMode="External" Id="Re02669a3b2504f7a" /><Relationship Type="http://schemas.openxmlformats.org/officeDocument/2006/relationships/hyperlink" Target="https://meteor.aihw.gov.au/content/402041" TargetMode="External" Id="Rce18e3365fa24c35" /><Relationship Type="http://schemas.openxmlformats.org/officeDocument/2006/relationships/hyperlink" Target="https://meteor.aihw.gov.au/content/659725" TargetMode="External" Id="R1e449be010614d0e" /><Relationship Type="http://schemas.openxmlformats.org/officeDocument/2006/relationships/hyperlink" Target="https://meteor.aihw.gov.au/content/402041" TargetMode="External" Id="R8f0820678fca4215" /><Relationship Type="http://schemas.openxmlformats.org/officeDocument/2006/relationships/hyperlink" Target="https://meteor.aihw.gov.au/content/721652" TargetMode="External" Id="R8cab38742d874512" /><Relationship Type="http://schemas.openxmlformats.org/officeDocument/2006/relationships/hyperlink" Target="https://meteor.aihw.gov.au/content/724838" TargetMode="External" Id="Rff059360e4e244d8" /><Relationship Type="http://schemas.openxmlformats.org/officeDocument/2006/relationships/hyperlink" Target="https://meteor.aihw.gov.au/content/402041" TargetMode="External" Id="R9444b3bfdb8a4474" /><Relationship Type="http://schemas.openxmlformats.org/officeDocument/2006/relationships/hyperlink" Target="https://meteor.aihw.gov.au/content/715309" TargetMode="External" Id="R3dd326584ea34e77" /><Relationship Type="http://schemas.openxmlformats.org/officeDocument/2006/relationships/hyperlink" Target="https://meteor.aihw.gov.au/RegistrationAuthority/12" TargetMode="External" Id="R3f8b2f6694c24fab" /><Relationship Type="http://schemas.openxmlformats.org/officeDocument/2006/relationships/hyperlink" Target="https://meteor.aihw.gov.au/content/765810" TargetMode="External" Id="Rd913bf69c85043e7" /><Relationship Type="http://schemas.openxmlformats.org/officeDocument/2006/relationships/hyperlink" Target="https://meteor.aihw.gov.au/RegistrationAuthority/12" TargetMode="External" Id="R9035c6d5a6a542de" /><Relationship Type="http://schemas.openxmlformats.org/officeDocument/2006/relationships/hyperlink" Target="https://meteor.aihw.gov.au/content/728337" TargetMode="External" Id="R639a89205bf344c1" /><Relationship Type="http://schemas.openxmlformats.org/officeDocument/2006/relationships/hyperlink" Target="https://meteor.aihw.gov.au/RegistrationAuthority/12" TargetMode="External" Id="R8ac9502598fb486b" /><Relationship Type="http://schemas.openxmlformats.org/officeDocument/2006/relationships/hyperlink" Target="https://meteor.aihw.gov.au/content/716297" TargetMode="External" Id="R71472956961c4416" /><Relationship Type="http://schemas.openxmlformats.org/officeDocument/2006/relationships/hyperlink" Target="https://meteor.aihw.gov.au/RegistrationAuthority/12" TargetMode="External" Id="R95f69619e23e498b" /><Relationship Type="http://schemas.openxmlformats.org/officeDocument/2006/relationships/hyperlink" Target="https://meteor.aihw.gov.au/content/740884" TargetMode="External" Id="Rb4bbcbacd9a94c1e" /><Relationship Type="http://schemas.openxmlformats.org/officeDocument/2006/relationships/hyperlink" Target="https://meteor.aihw.gov.au/RegistrationAuthority/12" TargetMode="External" Id="R0a51b3a434d640ef" /></Relationships>
</file>

<file path=word/_rels/header1.xml.rels>&#65279;<?xml version="1.0" encoding="utf-8"?><Relationships xmlns="http://schemas.openxmlformats.org/package/2006/relationships"><Relationship Type="http://schemas.openxmlformats.org/officeDocument/2006/relationships/image" Target="/media/image.png" Id="R34ed936b70a84c85" /></Relationships>
</file>