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02464a37354fa2"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3.1.8–Notification of selected childhood diseases,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3.1.8–Notification of selected childhood diseases,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3.1.8–Notification of selected childhood diseases,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e68ccd011b4e05">
              <w:r>
                <w:rPr>
                  <w:rStyle w:val="Hyperlink"/>
                  <w:color w:val="244061"/>
                </w:rPr>
                <w:t xml:space="preserve">Health</w:t>
              </w:r>
            </w:hyperlink>
            <w:r>
              <w:rPr>
                <w:rStyle w:val="row-content"/>
                <w:color w:val="244061"/>
              </w:rPr>
              <w:t xml:space="preserve">, Superseded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less than 15 notified as having selected vaccine 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Immunise Australia</w:t>
            </w:r>
            <w:r>
              <w:rPr>
                <w:rStyle w:val="row-content-rich-text"/>
              </w:rPr>
              <w:t xml:space="preserve"> program has had a substantial influence on reducing rates for a wide variety of communicable diseases. Despite this progress, outbreaks of vaccine preventable diseases can still occur.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2d0adc5ea74b51">
              <w:r>
                <w:rPr>
                  <w:rStyle w:val="Hyperlink"/>
                </w:rPr>
                <w:t xml:space="preserve">Australian Health Performance Framework, 2020</w:t>
              </w:r>
            </w:hyperlink>
          </w:p>
          <w:p>
            <w:pPr>
              <w:spacing w:before="0" w:after="0"/>
            </w:pPr>
            <w:r>
              <w:rPr>
                <w:rStyle w:val="row-content"/>
                <w:color w:val="244061"/>
              </w:rPr>
              <w:t xml:space="preserve">       </w:t>
            </w:r>
            <w:hyperlink w:history="true" r:id="Rce40e42583e74a01">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per 100,000 children aged less than 15 notified as having selected vaccine 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w:t>
            </w:r>
            <w:r>
              <w:rPr>
                <w:rStyle w:val="row-content-rich-text"/>
              </w:rPr>
              <w:t xml:space="preserve">×</w:t>
            </w:r>
            <w:r>
              <w:rPr>
                <w:rStyle w:val="row-content-rich-text"/>
              </w:rPr>
              <w:t xml:space="preserve"> (Numerator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 to 14 who have been notified as having contracted measles, pertussis or invasive Haemophilus influenzae type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Notification — disease type</w:t>
            </w:r>
          </w:p>
          <w:p>
            <w:r>
              <w:rPr>
                <w:rStyle w:val="row-content"/>
              </w:rPr>
              <w:t xml:space="preserve"> </w:t>
            </w:r>
          </w:p>
          <w:p>
            <w:r>
              <w:rPr>
                <w:rStyle w:val="row-content"/>
                <w:b/>
              </w:rPr>
              <w:t xml:space="preserve">Data Source</w:t>
            </w:r>
          </w:p>
          <w:p>
            <w:hyperlink w:history="true" r:id="R768b5ed42ea94aa7">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p>
            <w:r>
              <w:rPr>
                <w:rStyle w:val="row-content"/>
                <w:b/>
                <w:color w:val="000000"/>
              </w:rPr>
              <w:t xml:space="preserve">Data Element / Data Set</w:t>
            </w:r>
          </w:p>
          <w:p>
            <w:hyperlink w:history="true" r:id="R8d541bcaf6324284">
              <w:r>
                <w:rPr>
                  <w:rStyle w:val="Hyperlink"/>
                </w:rPr>
                <w:t xml:space="preserve">Person—Age, total years N[NN]</w:t>
              </w:r>
            </w:hyperlink>
          </w:p>
          <w:p>
            <w:r>
              <w:rPr>
                <w:rStyle w:val="row-content"/>
                <w:b/>
              </w:rPr>
              <w:t xml:space="preserve">Data Source</w:t>
            </w:r>
          </w:p>
          <w:p>
            <w:hyperlink w:history="true" r:id="R267ac13fae2c4d97">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under15 years of 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74f85398164b01">
              <w:r>
                <w:rPr>
                  <w:rStyle w:val="Hyperlink"/>
                </w:rPr>
                <w:t xml:space="preserve">Person—Age, total years N[NN]</w:t>
              </w:r>
            </w:hyperlink>
          </w:p>
          <w:p>
            <w:r>
              <w:rPr>
                <w:rStyle w:val="row-content"/>
                <w:b/>
              </w:rPr>
              <w:t xml:space="preserve">Data Source</w:t>
            </w:r>
          </w:p>
          <w:p>
            <w:hyperlink w:history="true" r:id="R653d3e9e44ec40f8">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disease type</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Indigenous status.</w:t>
            </w:r>
          </w:p>
          <w:p>
            <w:pPr/>
            <w:r>
              <w:rPr>
                <w:rStyle w:val="row-content-rich-text"/>
              </w:rPr>
              <w:t xml:space="preserve">Except for pertussis, numbers of notifications are too small for reporting by age group, sex or Indigenous status, and may also involve suppressions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Notification — disease type</w:t>
            </w:r>
          </w:p>
          <w:p>
            <w:r>
              <w:rPr>
                <w:rStyle w:val="row-content"/>
              </w:rPr>
              <w:t xml:space="preserve"> </w:t>
            </w:r>
          </w:p>
          <w:p>
            <w:r>
              <w:rPr>
                <w:rStyle w:val="row-content"/>
              </w:rPr>
              <w:t xml:space="preserve"> </w:t>
            </w:r>
          </w:p>
          <w:p>
            <w:r>
              <w:rPr>
                <w:rStyle w:val="row-content"/>
                <w:b/>
              </w:rPr>
              <w:t xml:space="preserve">Data Source</w:t>
            </w:r>
          </w:p>
          <w:p>
            <w:hyperlink w:history="true" r:id="Rbb7955f6c7bf40e7">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p>
            <w:r>
              <w:rPr>
                <w:rStyle w:val="row-content"/>
                <w:b/>
                <w:color w:val="000000"/>
              </w:rPr>
              <w:t xml:space="preserve">Data Element / Data Set</w:t>
            </w:r>
          </w:p>
          <w:p>
            <w:hyperlink w:history="true" r:id="R79e9a1ba0226405a">
              <w:r>
                <w:rPr>
                  <w:rStyle w:val="Hyperlink"/>
                </w:rPr>
                <w:t xml:space="preserve">Person—sex, code N</w:t>
              </w:r>
            </w:hyperlink>
          </w:p>
          <w:p>
            <w:r>
              <w:rPr>
                <w:rStyle w:val="row-content"/>
                <w:b/>
              </w:rPr>
              <w:t xml:space="preserve">Data Source</w:t>
            </w:r>
          </w:p>
          <w:p>
            <w:hyperlink w:history="true" r:id="R57daf4789f1d48ca">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p>
            <w:r>
              <w:rPr>
                <w:rStyle w:val="row-content"/>
                <w:b/>
                <w:color w:val="000000"/>
              </w:rPr>
              <w:t xml:space="preserve">Data Element / Data Set</w:t>
            </w:r>
          </w:p>
          <w:p>
            <w:hyperlink w:history="true" r:id="Rc3b9affbbaf74783">
              <w:r>
                <w:rPr>
                  <w:rStyle w:val="Hyperlink"/>
                </w:rPr>
                <w:t xml:space="preserve">Person—Age, total years N[NN]</w:t>
              </w:r>
            </w:hyperlink>
          </w:p>
          <w:p>
            <w:r>
              <w:rPr>
                <w:rStyle w:val="row-content"/>
                <w:b/>
              </w:rPr>
              <w:t xml:space="preserve">Data Source</w:t>
            </w:r>
          </w:p>
          <w:p>
            <w:hyperlink w:history="true" r:id="R34683b3feb054627">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p>
            <w:r>
              <w:rPr>
                <w:rStyle w:val="row-content"/>
                <w:b/>
                <w:color w:val="000000"/>
              </w:rPr>
              <w:t xml:space="preserve">Data Element / Data Set</w:t>
            </w:r>
          </w:p>
          <w:p>
            <w:hyperlink w:history="true" r:id="Ra12cbb23f03045ce">
              <w:r>
                <w:rPr>
                  <w:rStyle w:val="Hyperlink"/>
                </w:rPr>
                <w:t xml:space="preserve">Person—Indigenous status, code N</w:t>
              </w:r>
            </w:hyperlink>
          </w:p>
          <w:p>
            <w:r>
              <w:rPr>
                <w:rStyle w:val="row-content"/>
                <w:b/>
              </w:rPr>
              <w:t xml:space="preserve">Data Source</w:t>
            </w:r>
          </w:p>
          <w:p>
            <w:hyperlink w:history="true" r:id="R6a4035f54b3d409c">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p>
            <w:r>
              <w:rPr>
                <w:rStyle w:val="row-content"/>
                <w:b/>
                <w:color w:val="000000"/>
              </w:rPr>
              <w:t xml:space="preserve">Data Element / Data Set</w:t>
            </w:r>
          </w:p>
          <w:p>
            <w:hyperlink w:history="true" r:id="R625facd7b6634d31">
              <w:r>
                <w:rPr>
                  <w:rStyle w:val="Hyperlink"/>
                </w:rPr>
                <w:t xml:space="preserve">Person—area of usual residence, Australian state/territory code AA[A]</w:t>
              </w:r>
            </w:hyperlink>
          </w:p>
          <w:p>
            <w:r>
              <w:rPr>
                <w:rStyle w:val="row-content"/>
                <w:b/>
              </w:rPr>
              <w:t xml:space="preserve">Data Source</w:t>
            </w:r>
          </w:p>
          <w:p>
            <w:hyperlink w:history="true" r:id="Ref3282579f764dce">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National notifiable diseases register</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0b0b7e49414450">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Mumps and other vaccine preventable communicable diseases could be considered for addition to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3 vaccine preventable diseases selected for this indicator are the 3 currently reported by the Productivity Commission.</w:t>
            </w:r>
          </w:p>
          <w:p>
            <w:pPr/>
            <w:r>
              <w:rPr>
                <w:rStyle w:val="row-content-rich-text"/>
              </w:rPr>
              <w:t xml:space="preserve">Available diagnostic tools make it uncommon for cases of measles or invasive Haemophilus influenzae type b to go undiagnosed, however, diagnosis of pertussis cannot always be confirmed using available tools (</w:t>
            </w:r>
            <w:hyperlink w:history="true" r:id="R375a0e0d7b5448a5">
              <w:r>
                <w:rPr>
                  <w:rStyle w:val="Hyperlink"/>
                </w:rPr>
                <w:t xml:space="preserve">Productivity Commission 2019: Table 10A.57</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c2926fd4a948d4">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Productivity Commission 2019. </w:t>
            </w:r>
            <w:hyperlink w:history="true" r:id="Rc6b46a2282604b15">
              <w:r>
                <w:rPr>
                  <w:rStyle w:val="Hyperlink"/>
                </w:rPr>
                <w:t xml:space="preserve">Final report 2019 Chapter 10 Primary and community health</w:t>
              </w:r>
            </w:hyperlink>
            <w:r>
              <w:rPr>
                <w:rStyle w:val="row-content-rich-text"/>
              </w:rPr>
              <w:t xml:space="preserve">. Canberra: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2015. </w:t>
            </w:r>
            <w:hyperlink w:history="true" r:id="R7185ffc3229e4788">
              <w:r>
                <w:rPr>
                  <w:rStyle w:val="Hyperlink"/>
                </w:rPr>
                <w:t xml:space="preserve">National youth information framework (NYIF) indicators vaccine-preventable diseases</w:t>
              </w:r>
            </w:hyperlink>
            <w:r>
              <w:rPr>
                <w:rStyle w:val="row-content-rich-text"/>
              </w:rPr>
              <w:t xml:space="preserve">. Canberra: Australian Institute of Health and Welfare.</w:t>
            </w:r>
          </w:p>
          <w:p>
            <w:pPr/>
            <w:r>
              <w:rPr>
                <w:rStyle w:val="row-content-rich-text"/>
              </w:rPr>
              <w:t xml:space="preserve">Productivity Commission 2019. </w:t>
            </w:r>
            <w:hyperlink w:history="true" r:id="R2b7c3631f0dd48a0">
              <w:r>
                <w:rPr>
                  <w:rStyle w:val="Hyperlink"/>
                </w:rPr>
                <w:t xml:space="preserve">Final report 2019 Chapter 10 Primary and community health</w:t>
              </w:r>
            </w:hyperlink>
            <w:r>
              <w:rPr>
                <w:rStyle w:val="row-content-rich-text"/>
              </w:rPr>
              <w:t xml:space="preserve">. Canberra: Productivity Commission.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fcb7009277476a">
              <w:r>
                <w:rPr>
                  <w:rStyle w:val="Hyperlink"/>
                </w:rPr>
                <w:t xml:space="preserve">Australian Health Performance Framework: PI 3.1.8–Notification of selected childhood diseases, 2021</w:t>
              </w:r>
            </w:hyperlink>
          </w:p>
          <w:p>
            <w:pPr>
              <w:spacing w:before="0" w:after="0"/>
            </w:pPr>
            <w:r>
              <w:rPr>
                <w:rStyle w:val="row-content"/>
                <w:color w:val="244061"/>
              </w:rPr>
              <w:t xml:space="preserve">       </w:t>
            </w:r>
            <w:hyperlink w:history="true" r:id="Rcda2afd7ada94e45">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891401b8d96346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9d7d4fda5d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1401b8d963466e" /><Relationship Type="http://schemas.openxmlformats.org/officeDocument/2006/relationships/header" Target="/word/header1.xml" Id="R392b216958224db9" /><Relationship Type="http://schemas.openxmlformats.org/officeDocument/2006/relationships/settings" Target="/word/settings.xml" Id="Rb6db87140901409b" /><Relationship Type="http://schemas.openxmlformats.org/officeDocument/2006/relationships/styles" Target="/word/styles.xml" Id="Rda37c893b1c14a19" /><Relationship Type="http://schemas.openxmlformats.org/officeDocument/2006/relationships/hyperlink" Target="https://meteor.aihw.gov.au/RegistrationAuthority/12" TargetMode="External" Id="R12e68ccd011b4e05" /><Relationship Type="http://schemas.openxmlformats.org/officeDocument/2006/relationships/hyperlink" Target="https://meteor.aihw.gov.au/content/728283" TargetMode="External" Id="Rac2d0adc5ea74b51" /><Relationship Type="http://schemas.openxmlformats.org/officeDocument/2006/relationships/hyperlink" Target="https://meteor.aihw.gov.au/RegistrationAuthority/12" TargetMode="External" Id="Rce40e42583e74a01" /><Relationship Type="http://schemas.openxmlformats.org/officeDocument/2006/relationships/hyperlink" Target="https://meteor.aihw.gov.au/content/393138" TargetMode="External" Id="R768b5ed42ea94aa7" /><Relationship Type="http://schemas.openxmlformats.org/officeDocument/2006/relationships/hyperlink" Target="https://meteor.aihw.gov.au/content/585222" TargetMode="External" Id="R8d541bcaf6324284" /><Relationship Type="http://schemas.openxmlformats.org/officeDocument/2006/relationships/hyperlink" Target="https://meteor.aihw.gov.au/content/393138" TargetMode="External" Id="R267ac13fae2c4d97" /><Relationship Type="http://schemas.openxmlformats.org/officeDocument/2006/relationships/hyperlink" Target="https://meteor.aihw.gov.au/content/585222" TargetMode="External" Id="R4d74f85398164b01" /><Relationship Type="http://schemas.openxmlformats.org/officeDocument/2006/relationships/hyperlink" Target="https://meteor.aihw.gov.au/content/393138" TargetMode="External" Id="R653d3e9e44ec40f8" /><Relationship Type="http://schemas.openxmlformats.org/officeDocument/2006/relationships/numbering" Target="/word/numbering.xml" Id="R1a536f818ed04027" /><Relationship Type="http://schemas.openxmlformats.org/officeDocument/2006/relationships/hyperlink" Target="https://meteor.aihw.gov.au/content/393138" TargetMode="External" Id="Rbb7955f6c7bf40e7" /><Relationship Type="http://schemas.openxmlformats.org/officeDocument/2006/relationships/hyperlink" Target="https://meteor.aihw.gov.au/content/270263" TargetMode="External" Id="R79e9a1ba0226405a" /><Relationship Type="http://schemas.openxmlformats.org/officeDocument/2006/relationships/hyperlink" Target="https://meteor.aihw.gov.au/content/393138" TargetMode="External" Id="R57daf4789f1d48ca" /><Relationship Type="http://schemas.openxmlformats.org/officeDocument/2006/relationships/hyperlink" Target="https://meteor.aihw.gov.au/content/585222" TargetMode="External" Id="Rc3b9affbbaf74783" /><Relationship Type="http://schemas.openxmlformats.org/officeDocument/2006/relationships/hyperlink" Target="https://meteor.aihw.gov.au/content/393138" TargetMode="External" Id="R34683b3feb054627" /><Relationship Type="http://schemas.openxmlformats.org/officeDocument/2006/relationships/hyperlink" Target="https://meteor.aihw.gov.au/content/602543" TargetMode="External" Id="Ra12cbb23f03045ce" /><Relationship Type="http://schemas.openxmlformats.org/officeDocument/2006/relationships/hyperlink" Target="https://meteor.aihw.gov.au/content/393138" TargetMode="External" Id="R6a4035f54b3d409c" /><Relationship Type="http://schemas.openxmlformats.org/officeDocument/2006/relationships/hyperlink" Target="https://meteor.aihw.gov.au/content/645249" TargetMode="External" Id="R625facd7b6634d31" /><Relationship Type="http://schemas.openxmlformats.org/officeDocument/2006/relationships/hyperlink" Target="https://meteor.aihw.gov.au/content/393138" TargetMode="External" Id="Ref3282579f764dce" /><Relationship Type="http://schemas.openxmlformats.org/officeDocument/2006/relationships/hyperlink" Target="https://meteor.aihw.gov.au/content/393138" TargetMode="External" Id="Rbc0b0b7e49414450" /><Relationship Type="http://schemas.openxmlformats.org/officeDocument/2006/relationships/hyperlink" Target="https://www.pc.gov.au/research/ongoing/report-on-government-services/2019/health/primary-and-community-health/rogs-2019-parte-chapter10.pdf" TargetMode="External" Id="R375a0e0d7b5448a5" /><Relationship Type="http://schemas.openxmlformats.org/officeDocument/2006/relationships/hyperlink" Target="https://meteor.aihw.gov.au/content/564862" TargetMode="External" Id="R64c2926fd4a948d4" /><Relationship Type="http://schemas.openxmlformats.org/officeDocument/2006/relationships/hyperlink" Target="https://www.pc.gov.au/research/ongoing/report-on-government-services/2019/health/primary-and-community-health/rogs-2019-parte-chapter10.pdf" TargetMode="External" Id="Rc6b46a2282604b15" /><Relationship Type="http://schemas.openxmlformats.org/officeDocument/2006/relationships/hyperlink" Target="http://analytics.aihw.gov.au/Viewer/VisualAnalyticsViewer_guest.jsp?reportPath=%2FAIHW%2FReleasedPublic%2FYouth%2FReports&amp;amp;reportName=YTH2015_vaccine_prev&amp;amp;appSwitcherDisabled=true" TargetMode="External" Id="R7185ffc3229e4788" /><Relationship Type="http://schemas.openxmlformats.org/officeDocument/2006/relationships/hyperlink" Target="https://www.pc.gov.au/research/ongoing/report-on-government-services/2019/health/primary-and-community-health/rogs-2019-parte-chapter10.pdf" TargetMode="External" Id="R2b7c3631f0dd48a0" /><Relationship Type="http://schemas.openxmlformats.org/officeDocument/2006/relationships/hyperlink" Target="https://meteor.aihw.gov.au/content/777088" TargetMode="External" Id="R82fcb7009277476a" /><Relationship Type="http://schemas.openxmlformats.org/officeDocument/2006/relationships/hyperlink" Target="https://meteor.aihw.gov.au/RegistrationAuthority/12" TargetMode="External" Id="Rcda2afd7ada94e45" /></Relationships>
</file>

<file path=word/_rels/header1.xml.rels>&#65279;<?xml version="1.0" encoding="utf-8"?><Relationships xmlns="http://schemas.openxmlformats.org/package/2006/relationships"><Relationship Type="http://schemas.openxmlformats.org/officeDocument/2006/relationships/image" Target="/media/image.png" Id="R129d7d4fda5d4158" /></Relationships>
</file>