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d98e22799c4ae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2.5.1–Bulk-billing for non-referred (GP) attendances,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2.5.1–Bulk-billing for non-referred (GP) attendances,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2.5.1–Bulk-billing for non-referred (GP) attendances,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66a3fd8a14bf7">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rates of services for non-referred General Practitioner (GP) attendances bulk billed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4fb68e77b647d0">
              <w:r>
                <w:rPr>
                  <w:rStyle w:val="Hyperlink"/>
                </w:rPr>
                <w:t xml:space="preserve">Australian Health Performance Framework, 2020</w:t>
              </w:r>
            </w:hyperlink>
          </w:p>
          <w:p>
            <w:pPr>
              <w:spacing w:before="0" w:after="0"/>
            </w:pPr>
            <w:r>
              <w:rPr>
                <w:rStyle w:val="row-content"/>
                <w:color w:val="244061"/>
              </w:rPr>
              <w:t xml:space="preserve">       </w:t>
            </w:r>
            <w:hyperlink w:history="true" r:id="Rd2f1a5a06f38494c">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Bulk-billing is an arrangement in which a GP bills Medicare directly for any eligible medical or allied health service that the patient receives, and imposes no other 'gap payment' on the patient. In this arrangement the provider accepts the Medicare benefit as full payment for the service and the patient assigns their right to a Medicare benefit to the service provider.</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Services Groups:</w:t>
            </w:r>
          </w:p>
          <w:p>
            <w:pPr>
              <w:pStyle w:val="ListParagraph"/>
              <w:numPr>
                <w:ilvl w:val="0"/>
                <w:numId w:val="2"/>
              </w:numPr>
            </w:pPr>
            <w:r>
              <w:rPr>
                <w:rStyle w:val="row-content-rich-text"/>
              </w:rPr>
              <w:t xml:space="preserve">‘A’ - GP/Vocationally Registered (VR)GP non-referred attendances  </w:t>
            </w:r>
          </w:p>
          <w:p>
            <w:pPr>
              <w:pStyle w:val="ListParagraph"/>
              <w:numPr>
                <w:ilvl w:val="0"/>
                <w:numId w:val="2"/>
              </w:numPr>
            </w:pPr>
            <w:r>
              <w:rPr>
                <w:rStyle w:val="row-content-rich-text"/>
              </w:rPr>
              <w:t xml:space="preserve">‘M’ - Enhanced Primary Care and</w:t>
            </w:r>
          </w:p>
          <w:p>
            <w:pPr>
              <w:pStyle w:val="ListParagraph"/>
              <w:numPr>
                <w:ilvl w:val="0"/>
                <w:numId w:val="2"/>
              </w:numPr>
            </w:pPr>
            <w:r>
              <w:rPr>
                <w:rStyle w:val="row-content-rich-text"/>
              </w:rPr>
              <w:t xml:space="preserve">'B’ - Non-referred other attendances as published in official Medicare Benefits Schedule statistics by the Department of Health.</w:t>
            </w:r>
          </w:p>
          <w:p>
            <w:pPr>
              <w:spacing w:after="160"/>
            </w:pPr>
            <w:r>
              <w:rPr>
                <w:rStyle w:val="row-content-rich-text"/>
              </w:rPr>
              <w:t xml:space="preserve">In published bulk billing statistics from 2009-10, the patient’s geographic location is determined using their geocoded Medicare enrolment address at the date the claim was processed. There may be minor changes to the statistics in subsequent publications as geospatial information is updated.</w:t>
            </w:r>
          </w:p>
          <w:p>
            <w:pPr>
              <w:spacing w:after="160"/>
            </w:pPr>
            <w:r>
              <w:rPr>
                <w:rStyle w:val="row-content-rich-text"/>
              </w:rPr>
              <w:t xml:space="preserve">Statistics are published by Modified Monash Model (MMM) and by state/territory of patient. The MMM is a geographical classification that categorises different areas in Australia into seven remoteness categories. The MMM classifies metropolitan, regional, rural and remote areas according to geographical remoteness, as defined by the Australian Bureau of Statistics (ABS), and town size.</w:t>
            </w:r>
          </w:p>
          <w:p>
            <w:pPr>
              <w:spacing w:after="160"/>
            </w:pPr>
            <w:r>
              <w:rPr>
                <w:rStyle w:val="row-content-rich-text"/>
              </w:rPr>
              <w:t xml:space="preserve">The MMM is used to determine eligibility for a range of health programs.</w:t>
            </w:r>
          </w:p>
          <w:p>
            <w:pPr>
              <w:spacing w:after="160"/>
            </w:pPr>
            <w:r>
              <w:rPr>
                <w:rStyle w:val="row-content-rich-text"/>
              </w:rPr>
              <w:t xml:space="preserve">Presented in numbers and percentages.</w:t>
            </w:r>
          </w:p>
          <w:tbl>
            <w:tblPr>
              <w:tblStyle w:val="TableGrid"/>
              <w:tblW w:w="5000" w:type="pct"/>
              <w:tblLayout w:type="autofit"/>
            </w:tblPr>
            <w:tblGrid>
              <w:gridCol/>
              <w:gridCol/>
            </w:tblGrid>
            <w:tr>
              <w:trPr/>
              <w:tc>
                <w:tcPr>
                  <w:tcW w:w="1000" w:type="pct"/>
                  <w:vAlign w:val="top"/>
                </w:tcPr>
                <w:p>
                  <w:pPr/>
                  <w:r>
                    <w:rPr>
                      <w:rStyle w:val="row-content-rich-text"/>
                      <w:b/>
                    </w:rPr>
                    <w:t xml:space="preserve">Modified Monash Category</w:t>
                  </w:r>
                </w:p>
              </w:tc>
              <w:tc>
                <w:tcPr>
                  <w:tcW w:w="4000" w:type="pct"/>
                  <w:vAlign w:val="top"/>
                </w:tcPr>
                <w:p>
                  <w:r>
                    <w:rPr>
                      <w:b/>
                    </w:rPr>
                    <w:t xml:space="preserve">Description (including the Australian Standard Geographical Classification (ASGS) – Remoteness Area (2016)</w:t>
                  </w:r>
                </w:p>
              </w:tc>
            </w:tr>
            <w:tr>
              <w:trPr/>
              <w:tc>
                <w:tcPr>
                  <w:tcW w:w="1000" w:type="pct"/>
                  <w:vAlign w:val="top"/>
                </w:tcPr>
                <w:p>
                  <w:r>
                    <w:t xml:space="preserve">MM 1</w:t>
                  </w:r>
                </w:p>
              </w:tc>
              <w:tc>
                <w:tcPr>
                  <w:tcW w:w="4000" w:type="pct"/>
                  <w:vAlign w:val="top"/>
                </w:tcPr>
                <w:p>
                  <w:r>
                    <w:rPr>
                      <w:b/>
                    </w:rPr>
                    <w:t xml:space="preserve">Metropolitan areas:</w:t>
                  </w:r>
                  <w:r>
                    <w:t xml:space="preserve"> Major cities accounting for 70% of Australia’s population. All areas categorised ASGS-RA1</w:t>
                  </w:r>
                </w:p>
              </w:tc>
            </w:tr>
            <w:tr>
              <w:trPr/>
              <w:tc>
                <w:tcPr>
                  <w:tcW w:w="1000" w:type="pct"/>
                  <w:vAlign w:val="top"/>
                </w:tcPr>
                <w:p>
                  <w:r>
                    <w:t xml:space="preserve">MM 2</w:t>
                  </w:r>
                </w:p>
              </w:tc>
              <w:tc>
                <w:tcPr>
                  <w:tcW w:w="4000" w:type="pct"/>
                  <w:vAlign w:val="top"/>
                </w:tcPr>
                <w:p>
                  <w:r>
                    <w:rPr>
                      <w:b/>
                    </w:rPr>
                    <w:t xml:space="preserve">Regional centres:</w:t>
                  </w:r>
                  <w:r>
                    <w:t xml:space="preserve"> Inner (ASGS-RA 2) and Outer Regional (ASGS-RA 3) areas that are in, or within a 20km drive of a town with over 50,000 residents</w:t>
                  </w:r>
                </w:p>
              </w:tc>
            </w:tr>
            <w:tr>
              <w:trPr/>
              <w:tc>
                <w:tcPr>
                  <w:tcW w:w="1000" w:type="pct"/>
                  <w:vAlign w:val="top"/>
                </w:tcPr>
                <w:p>
                  <w:r>
                    <w:t xml:space="preserve">MM 3</w:t>
                  </w:r>
                </w:p>
              </w:tc>
              <w:tc>
                <w:tcPr>
                  <w:tcW w:w="4000" w:type="pct"/>
                  <w:vAlign w:val="top"/>
                </w:tcPr>
                <w:p>
                  <w:r>
                    <w:rPr>
                      <w:b/>
                    </w:rPr>
                    <w:t xml:space="preserve">Large rural towns: </w:t>
                  </w:r>
                  <w:r>
                    <w:t xml:space="preserve">Inner (ASGS-RA 2) and Outer Regional (ASGS-RA 3) areas that are not MM 2 and are in, or within a 15km drive of a town between 15,000 to 50,000 residents</w:t>
                  </w:r>
                </w:p>
              </w:tc>
            </w:tr>
            <w:tr>
              <w:trPr/>
              <w:tc>
                <w:tcPr>
                  <w:tcW w:w="1000" w:type="pct"/>
                  <w:vAlign w:val="top"/>
                </w:tcPr>
                <w:p>
                  <w:r>
                    <w:t xml:space="preserve">MM 4</w:t>
                  </w:r>
                </w:p>
              </w:tc>
              <w:tc>
                <w:tcPr>
                  <w:tcW w:w="4000" w:type="pct"/>
                  <w:vAlign w:val="top"/>
                </w:tcPr>
                <w:p>
                  <w:r>
                    <w:rPr>
                      <w:b/>
                    </w:rPr>
                    <w:t xml:space="preserve">Medium rural towns:</w:t>
                  </w:r>
                  <w:r>
                    <w:t xml:space="preserve"> Inner (ASGS-RA 2) and Outer Regional (ASGS-RA 3) areas that are not MM 2 or MM 3, and are in, or within a 10km drive of a town with between 5,000 to 15,000 residents</w:t>
                  </w:r>
                </w:p>
              </w:tc>
            </w:tr>
            <w:tr>
              <w:trPr/>
              <w:tc>
                <w:tcPr>
                  <w:tcW w:w="1000" w:type="pct"/>
                  <w:vAlign w:val="top"/>
                </w:tcPr>
                <w:p>
                  <w:r>
                    <w:t xml:space="preserve">MM 5</w:t>
                  </w:r>
                </w:p>
              </w:tc>
              <w:tc>
                <w:tcPr>
                  <w:tcW w:w="4000" w:type="pct"/>
                  <w:vAlign w:val="top"/>
                </w:tcPr>
                <w:p>
                  <w:r>
                    <w:rPr>
                      <w:b/>
                    </w:rPr>
                    <w:t xml:space="preserve">Small rural towns: </w:t>
                  </w:r>
                  <w:r>
                    <w:t xml:space="preserve">All remaining Inner (ASGS-RA 2) and Outer Regional (ASGS-RA 3) areas. Islands that have an MM 5 classification with a population of less than 1,000 without bridges to the mainland are classified as MM 6</w:t>
                  </w:r>
                </w:p>
              </w:tc>
            </w:tr>
            <w:tr>
              <w:trPr/>
              <w:tc>
                <w:tcPr>
                  <w:tcW w:w="1000" w:type="pct"/>
                  <w:vAlign w:val="top"/>
                </w:tcPr>
                <w:p>
                  <w:r>
                    <w:t xml:space="preserve">MM 6</w:t>
                  </w:r>
                </w:p>
              </w:tc>
              <w:tc>
                <w:tcPr>
                  <w:tcW w:w="4000" w:type="pct"/>
                  <w:vAlign w:val="top"/>
                </w:tcPr>
                <w:p>
                  <w:r>
                    <w:rPr>
                      <w:b/>
                    </w:rPr>
                    <w:t xml:space="preserve">Remote communities:</w:t>
                  </w:r>
                  <w:r>
                    <w:t xml:space="preserve"> Remote mainland areas (ASGS-RA 4) AND remote islands less than 5kms offshore. Islands that have an MM 5 classification with a population of less than 1,000 without bridges to the mainland are classified as MM 6</w:t>
                  </w:r>
                </w:p>
              </w:tc>
            </w:tr>
            <w:tr>
              <w:trPr/>
              <w:tc>
                <w:tcPr>
                  <w:tcW w:w="1000" w:type="pct"/>
                  <w:vAlign w:val="top"/>
                </w:tcPr>
                <w:p>
                  <w:r>
                    <w:t xml:space="preserve">MM 7</w:t>
                  </w:r>
                </w:p>
              </w:tc>
              <w:tc>
                <w:tcPr>
                  <w:tcW w:w="4000" w:type="pct"/>
                  <w:vAlign w:val="top"/>
                </w:tcPr>
                <w:p>
                  <w:r>
                    <w:rPr>
                      <w:b/>
                    </w:rPr>
                    <w:t xml:space="preserve">Very remote communities: </w:t>
                  </w:r>
                  <w:r>
                    <w:t xml:space="preserve">Very remote areas (ASGS-RA 5) and all other remote island areas more than 5kms offshore.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Bulk-billed GP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bulk-billed GP attendances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6e255a8b3249b5">
              <w:r>
                <w:rPr>
                  <w:rStyle w:val="Hyperlink"/>
                </w:rPr>
                <w:t xml:space="preserve">Address—Australian postcode, Australian postcode code (Postcode datafile) {NNNN}</w:t>
              </w:r>
            </w:hyperlink>
          </w:p>
          <w:p>
            <w:r>
              <w:rPr>
                <w:rStyle w:val="row-content"/>
                <w:b/>
              </w:rPr>
              <w:t xml:space="preserve">Data Source</w:t>
            </w:r>
          </w:p>
          <w:p>
            <w:hyperlink w:history="true" r:id="R8002d0c515444865">
              <w:r>
                <w:rPr>
                  <w:rStyle w:val="Hyperlink"/>
                </w:rPr>
                <w:t xml:space="preserve">Medicare (MBS) data</w:t>
              </w:r>
            </w:hyperlink>
          </w:p>
          <w:p>
            <w:r>
              <w:rPr>
                <w:rStyle w:val="row-content"/>
                <w:b/>
                <w:color w:val="000000"/>
              </w:rPr>
              <w:t xml:space="preserve">Data Element / Data Set</w:t>
            </w:r>
          </w:p>
          <w:p>
            <w:hyperlink w:history="true" r:id="Rb809b0efcd534429">
              <w:r>
                <w:rPr>
                  <w:rStyle w:val="Hyperlink"/>
                </w:rPr>
                <w:t xml:space="preserve">Person—General Practitioner MBS health assessment indicator, yes/no code N</w:t>
              </w:r>
            </w:hyperlink>
          </w:p>
          <w:p>
            <w:r>
              <w:rPr>
                <w:rStyle w:val="row-content"/>
                <w:b/>
              </w:rPr>
              <w:t xml:space="preserve">Data Source</w:t>
            </w:r>
          </w:p>
          <w:p>
            <w:hyperlink w:history="true" r:id="R3eb40f3f5d584602">
              <w:r>
                <w:rPr>
                  <w:rStyle w:val="Hyperlink"/>
                </w:rPr>
                <w:t xml:space="preserve">Medicare (MBS) data</w:t>
              </w:r>
            </w:hyperlink>
          </w:p>
          <w:p>
            <w:r>
              <w:rPr>
                <w:rStyle w:val="row-content"/>
                <w:b/>
                <w:color w:val="000000"/>
              </w:rPr>
              <w:t xml:space="preserve">Data Element / Data Set</w:t>
            </w:r>
          </w:p>
          <w:p>
            <w:hyperlink w:history="true" r:id="Re4611d2d41524ad8">
              <w:r>
                <w:rPr>
                  <w:rStyle w:val="Hyperlink"/>
                </w:rPr>
                <w:t xml:space="preserve">Service event—bulk billed General Practitioner (GP) service, total number NN[N]</w:t>
              </w:r>
            </w:hyperlink>
          </w:p>
          <w:p>
            <w:r>
              <w:rPr>
                <w:rStyle w:val="row-content"/>
                <w:b/>
              </w:rPr>
              <w:t xml:space="preserve">Data Source</w:t>
            </w:r>
          </w:p>
          <w:p>
            <w:hyperlink w:history="true" r:id="Rcffd52fee9bd409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GP attendances for year of processing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80c812e95443f9">
              <w:r>
                <w:rPr>
                  <w:rStyle w:val="Hyperlink"/>
                </w:rPr>
                <w:t xml:space="preserve">Person—General Practitioner MBS health assessment indicator, yes/no code N</w:t>
              </w:r>
            </w:hyperlink>
          </w:p>
          <w:p>
            <w:r>
              <w:rPr>
                <w:rStyle w:val="row-content"/>
                <w:b/>
              </w:rPr>
              <w:t xml:space="preserve">Data Source</w:t>
            </w:r>
          </w:p>
          <w:p>
            <w:hyperlink w:history="true" r:id="R438f45b6a057432d">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state/territory and by Modified Monash Model (MMM)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Region of patient - geographic remoteness MMM remoteness classification</w:t>
            </w:r>
          </w:p>
          <w:p>
            <w:r>
              <w:rPr>
                <w:rStyle w:val="row-content"/>
              </w:rPr>
              <w:t xml:space="preserve"> </w:t>
            </w:r>
          </w:p>
          <w:p>
            <w:r>
              <w:rPr>
                <w:rStyle w:val="row-content"/>
                <w:b/>
              </w:rPr>
              <w:t xml:space="preserve">Data Source</w:t>
            </w:r>
          </w:p>
          <w:p>
            <w:hyperlink w:history="true" r:id="R7f8ddc8ad4724c32">
              <w:r>
                <w:rPr>
                  <w:rStyle w:val="Hyperlink"/>
                </w:rPr>
                <w:t xml:space="preserve">Medicare (MBS) data</w:t>
              </w:r>
            </w:hyperlink>
          </w:p>
          <w:p>
            <w:r>
              <w:rPr>
                <w:rStyle w:val="row-content"/>
                <w:b/>
                <w:color w:val="000000"/>
              </w:rPr>
              <w:t xml:space="preserve">Data Element / Data Set</w:t>
            </w:r>
          </w:p>
          <w:p>
            <w:hyperlink w:history="true" r:id="R4c5b270b513a4e2e">
              <w:r>
                <w:rPr>
                  <w:rStyle w:val="Hyperlink"/>
                </w:rPr>
                <w:t xml:space="preserve">Service/care provider—Australian state/territory identifier, ACT-prioritised Australian state/territory code N</w:t>
              </w:r>
            </w:hyperlink>
          </w:p>
          <w:p>
            <w:r>
              <w:rPr>
                <w:rStyle w:val="row-content"/>
                <w:b/>
              </w:rPr>
              <w:t xml:space="preserve">Data Source</w:t>
            </w:r>
          </w:p>
          <w:p>
            <w:hyperlink w:history="true" r:id="R9b793c22dc824a64">
              <w:r>
                <w:rPr>
                  <w:rStyle w:val="Hyperlink"/>
                </w:rPr>
                <w:t xml:space="preserve">Medicare (MBS) data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N[N8].N</w:t>
            </w:r>
          </w:p>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1d616de95e408e">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e0a9395946447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1ac1c210c94c10">
              <w:r>
                <w:rPr>
                  <w:rStyle w:val="Hyperlink"/>
                </w:rPr>
                <w:t xml:space="preserve">National Health Performance Authority, Healthy Communities: Bulk-billed GP attendances, 2013–14</w:t>
              </w:r>
            </w:hyperlink>
          </w:p>
          <w:p>
            <w:pPr>
              <w:spacing w:before="0" w:after="0"/>
            </w:pPr>
            <w:r>
              <w:rPr>
                <w:rStyle w:val="row-content"/>
                <w:color w:val="244061"/>
              </w:rPr>
              <w:t xml:space="preserve">       </w:t>
            </w:r>
            <w:hyperlink w:history="true" r:id="R4470d25b7ea7426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0bd0ac07188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5f5b5f2da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d0ac071884e91" /><Relationship Type="http://schemas.openxmlformats.org/officeDocument/2006/relationships/header" Target="/word/header1.xml" Id="Rce7bc2ca205b4bde" /><Relationship Type="http://schemas.openxmlformats.org/officeDocument/2006/relationships/settings" Target="/word/settings.xml" Id="R4f797e5b0e61445d" /><Relationship Type="http://schemas.openxmlformats.org/officeDocument/2006/relationships/styles" Target="/word/styles.xml" Id="R474fee8ec6ce4a63" /><Relationship Type="http://schemas.openxmlformats.org/officeDocument/2006/relationships/hyperlink" Target="https://meteor.aihw.gov.au/RegistrationAuthority/12" TargetMode="External" Id="R88466a3fd8a14bf7" /><Relationship Type="http://schemas.openxmlformats.org/officeDocument/2006/relationships/hyperlink" Target="https://meteor.aihw.gov.au/content/728283" TargetMode="External" Id="R814fb68e77b647d0" /><Relationship Type="http://schemas.openxmlformats.org/officeDocument/2006/relationships/hyperlink" Target="https://meteor.aihw.gov.au/RegistrationAuthority/12" TargetMode="External" Id="Rd2f1a5a06f38494c" /><Relationship Type="http://schemas.openxmlformats.org/officeDocument/2006/relationships/numbering" Target="/word/numbering.xml" Id="Reca787e927884917" /><Relationship Type="http://schemas.openxmlformats.org/officeDocument/2006/relationships/hyperlink" Target="https://meteor.aihw.gov.au/content/429894" TargetMode="External" Id="R9d6e255a8b3249b5" /><Relationship Type="http://schemas.openxmlformats.org/officeDocument/2006/relationships/hyperlink" Target="https://meteor.aihw.gov.au/content/394305" TargetMode="External" Id="R8002d0c515444865" /><Relationship Type="http://schemas.openxmlformats.org/officeDocument/2006/relationships/hyperlink" Target="https://meteor.aihw.gov.au/content/554986" TargetMode="External" Id="Rb809b0efcd534429" /><Relationship Type="http://schemas.openxmlformats.org/officeDocument/2006/relationships/hyperlink" Target="https://meteor.aihw.gov.au/content/394305" TargetMode="External" Id="R3eb40f3f5d584602" /><Relationship Type="http://schemas.openxmlformats.org/officeDocument/2006/relationships/hyperlink" Target="https://meteor.aihw.gov.au/content/556603" TargetMode="External" Id="Re4611d2d41524ad8" /><Relationship Type="http://schemas.openxmlformats.org/officeDocument/2006/relationships/hyperlink" Target="https://meteor.aihw.gov.au/content/394305" TargetMode="External" Id="Rcffd52fee9bd409f" /><Relationship Type="http://schemas.openxmlformats.org/officeDocument/2006/relationships/hyperlink" Target="https://meteor.aihw.gov.au/content/554986" TargetMode="External" Id="R3380c812e95443f9" /><Relationship Type="http://schemas.openxmlformats.org/officeDocument/2006/relationships/hyperlink" Target="https://meteor.aihw.gov.au/content/394305" TargetMode="External" Id="R438f45b6a057432d" /><Relationship Type="http://schemas.openxmlformats.org/officeDocument/2006/relationships/hyperlink" Target="https://meteor.aihw.gov.au/content/394305" TargetMode="External" Id="R7f8ddc8ad4724c32" /><Relationship Type="http://schemas.openxmlformats.org/officeDocument/2006/relationships/hyperlink" Target="https://meteor.aihw.gov.au/content/603532" TargetMode="External" Id="R4c5b270b513a4e2e" /><Relationship Type="http://schemas.openxmlformats.org/officeDocument/2006/relationships/hyperlink" Target="https://meteor.aihw.gov.au/content/394305" TargetMode="External" Id="R9b793c22dc824a64" /><Relationship Type="http://schemas.openxmlformats.org/officeDocument/2006/relationships/hyperlink" Target="https://meteor.aihw.gov.au/content/394305" TargetMode="External" Id="Rb41d616de95e408e" /><Relationship Type="http://schemas.openxmlformats.org/officeDocument/2006/relationships/hyperlink" Target="https://meteor.aihw.gov.au/content/246013" TargetMode="External" Id="Re2e0a93959464478" /><Relationship Type="http://schemas.openxmlformats.org/officeDocument/2006/relationships/hyperlink" Target="https://meteor.aihw.gov.au/content/620171" TargetMode="External" Id="R091ac1c210c94c10" /><Relationship Type="http://schemas.openxmlformats.org/officeDocument/2006/relationships/hyperlink" Target="https://meteor.aihw.gov.au/RegistrationAuthority/8" TargetMode="External" Id="R4470d25b7ea74262" /></Relationships>
</file>

<file path=word/_rels/header1.xml.rels>&#65279;<?xml version="1.0" encoding="utf-8"?><Relationships xmlns="http://schemas.openxmlformats.org/package/2006/relationships"><Relationship Type="http://schemas.openxmlformats.org/officeDocument/2006/relationships/image" Target="/media/image.png" Id="R9ff5f5b5f2da4126" /></Relationships>
</file>