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588a6222b8f453a"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2.1.2–Females with an antenatal visit in the first trimester of pregnancy,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2.1.2–Females with an antenatal visit in the first trimester of pregnancy,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2.1.2–Females with an antenatal visit in the first trimester of pregnancy,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Proportion of women who gave birth and had at least one antenatal visit in the first trimester; Pregnancies with an antenatal visit in the first trimester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b0d0b15be244aa">
              <w:r>
                <w:rPr>
                  <w:rStyle w:val="Hyperlink"/>
                  <w:color w:val="244061"/>
                </w:rPr>
                <w:t xml:space="preserve">Health</w:t>
              </w:r>
            </w:hyperlink>
            <w:r>
              <w:rPr>
                <w:rStyle w:val="row-content"/>
                <w:color w:val="244061"/>
              </w:rPr>
              <w:t xml:space="preserve">, Standard 01/12/2020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females who gave birth, where an antenatal visit was reported in the first trimester, as a proportion of all females who gave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care needs of all Australians are met effectively through timely and quality care in the community.</w:t>
            </w:r>
          </w:p>
          <w:p>
            <w:pPr/>
            <w:r>
              <w:rPr>
                <w:rStyle w:val="row-content-rich-text"/>
              </w:rPr>
              <w:t xml:space="preserve">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05695d1aa9d466f">
              <w:r>
                <w:rPr>
                  <w:rStyle w:val="Hyperlink"/>
                </w:rPr>
                <w:t xml:space="preserve">Australian Health Performance Framework, 2020</w:t>
              </w:r>
            </w:hyperlink>
          </w:p>
          <w:p>
            <w:pPr>
              <w:spacing w:before="0" w:after="0"/>
            </w:pPr>
            <w:r>
              <w:rPr>
                <w:rStyle w:val="row-content"/>
                <w:color w:val="244061"/>
              </w:rPr>
              <w:t xml:space="preserve">       </w:t>
            </w:r>
            <w:hyperlink w:history="true" r:id="Raa50b7574adf4c08">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First trimester is defined as up to and including 13 weeks of pregnancy.</w:t>
            </w:r>
          </w:p>
          <w:p>
            <w:pPr>
              <w:spacing w:after="160"/>
            </w:pPr>
            <w:r>
              <w:rPr>
                <w:rStyle w:val="row-content-rich-text"/>
              </w:rPr>
              <w:t xml:space="preserve">Excludes women whose gestation at first antenatal visit was not stated.</w:t>
            </w:r>
          </w:p>
          <w:p>
            <w:pPr>
              <w:spacing w:after="160"/>
            </w:pPr>
            <w:r>
              <w:rPr>
                <w:rStyle w:val="row-content-rich-text"/>
              </w:rPr>
              <w:t xml:space="preserve">Analysis by state/territory, remoteness, Socio-Economic Indexes for Areas (SEIFA) Index of Relative Socio-Economic Disadvantage (IRSD) and Primary Health Network (PHN) is based on the usual residence of the mother.</w:t>
            </w:r>
          </w:p>
          <w:p>
            <w:pPr>
              <w:spacing w:after="160"/>
            </w:pPr>
            <w:r>
              <w:rPr>
                <w:rStyle w:val="row-content-rich-text"/>
              </w:rPr>
              <w:t xml:space="preserve">Data excludes Australian non-residents, residents of external territories and records where state/territory of residence was not stated.</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Presented as a:</w:t>
            </w:r>
          </w:p>
          <w:p>
            <w:pPr>
              <w:pStyle w:val="ListParagraph"/>
              <w:numPr>
                <w:ilvl w:val="0"/>
                <w:numId w:val="2"/>
              </w:numPr>
            </w:pPr>
            <w:r>
              <w:rPr>
                <w:rStyle w:val="row-content-rich-text"/>
              </w:rPr>
              <w:t xml:space="preserve">number, and</w:t>
            </w:r>
          </w:p>
          <w:p>
            <w:pPr>
              <w:pStyle w:val="ListParagraph"/>
              <w:numPr>
                <w:ilvl w:val="0"/>
                <w:numId w:val="2"/>
              </w:numPr>
            </w:pPr>
            <w:r>
              <w:rPr>
                <w:rStyle w:val="row-content-rich-tex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Crude percentage: </w:t>
            </w:r>
            <w:r>
              <w:rPr>
                <w:rStyle w:val="row-content-rich-text"/>
              </w:rPr>
              <w:t xml:space="preserve">100 x (Numerator ÷ Denominator)</w:t>
            </w:r>
          </w:p>
          <w:p>
            <w:pPr/>
            <w:r>
              <w:rPr>
                <w:rStyle w:val="row-content-rich-text"/>
                <w:b/>
              </w:rPr>
              <w:t xml:space="preserve">Age-standardised percentage:</w:t>
            </w:r>
            <w:r>
              <w:rPr>
                <w:rStyle w:val="row-content-rich-text"/>
              </w:rPr>
              <w:t xml:space="preserve"> calculated using the direct method, using five-year age groups from 15–19 to 40–44 with the 30 June 2001 Australian female estimated resident population (ERP) based on the 2001 Census as the standard population. Age-standardisation should be done in accordance with the National Indigenous Reform Agreement Performance Information Management Group (NIRAPIMG) agreed principles for direct age-standardisation (see Comments section. Note that Principle 4 is not applicable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females who gave birth to at least 1 live or stillborn baby, where an antenatal visit was reported in the first trimester (up to and including 13 completed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bc7041b29164ea1">
              <w:r>
                <w:rPr>
                  <w:rStyle w:val="Hyperlink"/>
                </w:rPr>
                <w:t xml:space="preserve">Pregnancy—estimated duration (at the first visit for antenatal care), completed weeks N[N]</w:t>
              </w:r>
            </w:hyperlink>
          </w:p>
          <w:p>
            <w:r>
              <w:rPr>
                <w:rStyle w:val="row-content"/>
                <w:b/>
              </w:rPr>
              <w:t xml:space="preserve">Data Source</w:t>
            </w:r>
          </w:p>
          <w:p>
            <w:hyperlink w:history="true" r:id="R905b2ed0d1d549e6">
              <w:r>
                <w:rPr>
                  <w:rStyle w:val="Hyperlink"/>
                </w:rPr>
                <w:t xml:space="preserve">AIHW National Perinatal Data Collection (NPDC)</w:t>
              </w:r>
            </w:hyperlink>
          </w:p>
          <w:p>
            <w:r>
              <w:rPr>
                <w:rStyle w:val="row-content"/>
                <w:b/>
              </w:rPr>
              <w:t xml:space="preserve">NMDS / DSS</w:t>
            </w:r>
          </w:p>
          <w:p>
            <w:hyperlink w:history="true" r:id="Rdf6d8b826eed4c4c">
              <w:r>
                <w:rPr>
                  <w:rStyle w:val="Hyperlink"/>
                </w:rPr>
                <w:t xml:space="preserve">Perinatal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females who gave birth to at least 1 live or stillborn baby (where gestation at first antenatal visit is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b416b3f30a043da">
              <w:r>
                <w:rPr>
                  <w:rStyle w:val="Hyperlink"/>
                </w:rPr>
                <w:t xml:space="preserve">Pregnancy—estimated duration (at the first visit for antenatal care), completed weeks N[N]</w:t>
              </w:r>
            </w:hyperlink>
          </w:p>
          <w:p>
            <w:r>
              <w:rPr>
                <w:rStyle w:val="row-content"/>
                <w:b/>
              </w:rPr>
              <w:t xml:space="preserve">Data Source</w:t>
            </w:r>
          </w:p>
          <w:p>
            <w:hyperlink w:history="true" r:id="Rb999802b5e434b4d">
              <w:r>
                <w:rPr>
                  <w:rStyle w:val="Hyperlink"/>
                </w:rPr>
                <w:t xml:space="preserve">AIHW National Perinatal Data Collection (NPDC)</w:t>
              </w:r>
            </w:hyperlink>
          </w:p>
          <w:p>
            <w:r>
              <w:rPr>
                <w:rStyle w:val="row-content"/>
                <w:b/>
              </w:rPr>
              <w:t xml:space="preserve">NMDS / DSS</w:t>
            </w:r>
          </w:p>
          <w:p>
            <w:hyperlink w:history="true" r:id="R8e0d25865df542e8">
              <w:r>
                <w:rPr>
                  <w:rStyle w:val="Hyperlink"/>
                </w:rPr>
                <w:t xml:space="preserve">Perinatal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2018 —National and state/territory by:</w:t>
            </w:r>
          </w:p>
          <w:p>
            <w:pPr>
              <w:pStyle w:val="ListParagraph"/>
              <w:numPr>
                <w:ilvl w:val="0"/>
                <w:numId w:val="3"/>
              </w:numPr>
            </w:pPr>
            <w:r>
              <w:rPr>
                <w:rStyle w:val="row-content-rich-text"/>
              </w:rPr>
              <w:t xml:space="preserve">Indigenous status of the mother</w:t>
            </w:r>
          </w:p>
          <w:p>
            <w:pPr>
              <w:pStyle w:val="ListParagraph"/>
              <w:numPr>
                <w:ilvl w:val="0"/>
                <w:numId w:val="3"/>
              </w:numPr>
            </w:pPr>
            <w:r>
              <w:rPr>
                <w:rStyle w:val="row-content-rich-text"/>
              </w:rPr>
              <w:t xml:space="preserve">remoteness (Australian Statistical Geography Standard (ASGS) 2016 Remoteness Structure)</w:t>
            </w:r>
          </w:p>
          <w:p>
            <w:pPr>
              <w:pStyle w:val="ListParagraph"/>
              <w:numPr>
                <w:ilvl w:val="0"/>
                <w:numId w:val="3"/>
              </w:numPr>
            </w:pPr>
            <w:r>
              <w:rPr>
                <w:rStyle w:val="row-content-rich-text"/>
              </w:rPr>
              <w:t xml:space="preserve">2016 Socio-Economic Indexes for Areas (SEIFA) Index of Relative Socio-economic Disadvantage (IRSD) quintiles.</w:t>
            </w:r>
          </w:p>
          <w:p>
            <w:pPr>
              <w:spacing w:after="160"/>
            </w:pPr>
            <w:r>
              <w:rPr>
                <w:rStyle w:val="row-content-rich-text"/>
              </w:rPr>
              <w:t xml:space="preserve">2018—Primary Health Network (PHN).</w:t>
            </w:r>
          </w:p>
          <w:p>
            <w:pPr>
              <w:spacing w:after="160"/>
            </w:pPr>
            <w:r>
              <w:rPr>
                <w:rStyle w:val="row-content-rich-text"/>
              </w:rPr>
              <w:t xml:space="preserve"> </w:t>
            </w:r>
          </w:p>
          <w:p>
            <w:pPr>
              <w:pStyle w:val="ListParagraph"/>
              <w:numPr>
                <w:ilvl w:val="0"/>
                <w:numId w:val="4"/>
              </w:numPr>
            </w:pPr>
            <w:r>
              <w:rPr>
                <w:rStyle w:val="row-content-rich-text"/>
              </w:rPr>
              <w:t xml:space="preserve">Indigenous status of the mother</w:t>
            </w:r>
          </w:p>
          <w:p>
            <w:pPr>
              <w:pStyle w:val="ListParagraph"/>
              <w:numPr>
                <w:ilvl w:val="0"/>
                <w:numId w:val="4"/>
              </w:numPr>
            </w:pPr>
            <w:r>
              <w:rPr>
                <w:rStyle w:val="row-content-rich-text"/>
              </w:rPr>
              <w:t xml:space="preserve">remoteness (ASGS 2016 Remoteness Structure)</w:t>
            </w:r>
          </w:p>
          <w:p>
            <w:pPr>
              <w:pStyle w:val="ListParagraph"/>
              <w:numPr>
                <w:ilvl w:val="0"/>
                <w:numId w:val="4"/>
              </w:numPr>
            </w:pPr>
            <w:r>
              <w:rPr>
                <w:rStyle w:val="row-content-rich-text"/>
              </w:rPr>
              <w:t xml:space="preserve">2016 SEIFA IRSD quintiles.</w:t>
            </w:r>
          </w:p>
          <w:p>
            <w:pPr>
              <w:spacing w:after="160"/>
            </w:pPr>
            <w:r>
              <w:rPr>
                <w:rStyle w:val="row-content-rich-text"/>
              </w:rPr>
              <w:t xml:space="preserve">Time series: 2012, 2013, 2014, 2015, 2016, 2017, and 2018—PHN.</w:t>
            </w:r>
          </w:p>
          <w:p>
            <w:pPr>
              <w:spacing w:after="160"/>
            </w:pPr>
            <w:r>
              <w:rPr>
                <w:rStyle w:val="row-content-rich-text"/>
              </w:rPr>
              <w:t xml:space="preserve">Note that data collection methods for Indigenous status of the mother and baby may vary between states and territories.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3ef69ffacdd4163">
              <w:r>
                <w:rPr>
                  <w:rStyle w:val="Hyperlink"/>
                </w:rPr>
                <w:t xml:space="preserve">Person—Indigenous status, code N</w:t>
              </w:r>
            </w:hyperlink>
          </w:p>
          <w:p>
            <w:r>
              <w:rPr>
                <w:rStyle w:val="row-content"/>
                <w:b/>
              </w:rPr>
              <w:t xml:space="preserve">Data Source</w:t>
            </w:r>
          </w:p>
          <w:p>
            <w:hyperlink w:history="true" r:id="R6921290cbf194390">
              <w:r>
                <w:rPr>
                  <w:rStyle w:val="Hyperlink"/>
                </w:rPr>
                <w:t xml:space="preserve">AIHW National Perinatal Data Collection (NPDC)</w:t>
              </w:r>
            </w:hyperlink>
          </w:p>
          <w:p>
            <w:r>
              <w:rPr>
                <w:rStyle w:val="row-content"/>
                <w:b/>
              </w:rPr>
              <w:t xml:space="preserve">NMDS / DSS</w:t>
            </w:r>
          </w:p>
          <w:p>
            <w:hyperlink w:history="true" r:id="R2e600af450be43d1">
              <w:r>
                <w:rPr>
                  <w:rStyle w:val="Hyperlink"/>
                </w:rPr>
                <w:t xml:space="preserve">Perinatal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eb0d1c4a827451e">
              <w:r>
                <w:rPr>
                  <w:rStyle w:val="Hyperlink"/>
                </w:rPr>
                <w:t xml:space="preserve">Person—area of usual residence, statistical area level 2 (SA2) code (ASGS 2016) N(9)</w:t>
              </w:r>
            </w:hyperlink>
          </w:p>
          <w:p>
            <w:r>
              <w:rPr>
                <w:rStyle w:val="row-content"/>
                <w:b/>
              </w:rPr>
              <w:t xml:space="preserve">Data Source</w:t>
            </w:r>
          </w:p>
          <w:p>
            <w:hyperlink w:history="true" r:id="Rbbcb39fe6e8a47a0">
              <w:r>
                <w:rPr>
                  <w:rStyle w:val="Hyperlink"/>
                </w:rPr>
                <w:t xml:space="preserve">AIHW National Perinatal Data Collection (NPDC)</w:t>
              </w:r>
            </w:hyperlink>
          </w:p>
          <w:p>
            <w:r>
              <w:rPr>
                <w:rStyle w:val="row-content"/>
                <w:b/>
              </w:rPr>
              <w:t xml:space="preserve">NMDS / DSS</w:t>
            </w:r>
          </w:p>
          <w:p>
            <w:hyperlink w:history="true" r:id="R2f6c575a8dba48a8">
              <w:r>
                <w:rPr>
                  <w:rStyle w:val="Hyperlink"/>
                </w:rPr>
                <w:t xml:space="preserve">Perinatal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remoteness, SEIFA IRSD and PHN.</w:t>
            </w:r>
          </w:p>
          <w:p>
            <w:r>
              <w:rPr>
                <w:rStyle w:val="row-content"/>
              </w:rPr>
              <w:t xml:space="preserve">Geographic unit used is Statistical Area Level 2 (SA2) in the Australian Statistical Geography Standard (ASGS). If data are coded according to the Australian Standard Geographical Classification (ASGC) boundaries, concordance files are used to map to the ASGS.</w:t>
            </w:r>
          </w:p>
          <w:p>
            <w:r>
              <w:rPr>
                <w:rStyle w:val="row-content"/>
              </w:rPr>
              <w:t xml:space="preserve">Remoteness is based on the ASGS 2011 Remoteness Structure from 2012 to 2016 and the ASGS 2016 Remoteness Structure from 2017.</w:t>
            </w:r>
          </w:p>
          <w:p>
            <w:r>
              <w:rPr>
                <w:rStyle w:val="row-content"/>
              </w:rPr>
              <w:t xml:space="preserve">SEIFA IRSD is based on the 2011 SEIFA IRSD from 2012 to 2016 and the 2016 SEIFA IRSD from 2017.</w:t>
            </w:r>
          </w:p>
          <w:p>
            <w:r>
              <w:rPr>
                <w:rStyle w:val="row-content"/>
              </w:rPr>
              <w:t xml:space="preserve">PHN is based on the ASGS 2011 from 2012 to 2016 and the ASGS 2016 from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Australian Health Performance Framework reporting: 2018 (calendar year data).</w:t>
            </w:r>
          </w:p>
          <w:p>
            <w:pPr>
              <w:spacing w:after="160"/>
            </w:pPr>
            <w:r>
              <w:rPr>
                <w:rStyle w:val="row-content-rich-text"/>
              </w:rPr>
              <w:t xml:space="preserve">Information is included in the National Perinatal Data Collection (NPDC) for both live births and stillbirths, where gestational age is at least 20 weeks or birthweight is at least 400 grams, except in Victoria and Western Australia, where births are included if gestational age is at least 20 weeks or, if gestation is unknown, birthweight is at least 400 grams.</w:t>
            </w:r>
          </w:p>
          <w:p>
            <w:pPr>
              <w:spacing w:after="160"/>
            </w:pPr>
            <w:r>
              <w:rPr>
                <w:rStyle w:val="row-content-rich-text"/>
              </w:rPr>
              <w:t xml:space="preserve">Antenatal visits relate to care provided by skilled birth attendants for reasons related to pregnancy. For the Australian Capital Territory, first antenatal visit is often the first hospital antenatal clinic visit. In many cases earlier antenatal care provided by the woman’s GP is not reported.</w:t>
            </w:r>
          </w:p>
          <w:p>
            <w:pPr>
              <w:spacing w:after="160"/>
            </w:pPr>
            <w:r>
              <w:rPr>
                <w:rStyle w:val="row-content-rich-text"/>
                <w:b/>
              </w:rPr>
              <w:t xml:space="preserve">NIRAPIMG agreed Principles for reporting directly age-standardised rates for administrative data.</w:t>
            </w:r>
          </w:p>
          <w:p>
            <w:pPr>
              <w:spacing w:after="160"/>
            </w:pPr>
            <w:r>
              <w:rPr>
                <w:rStyle w:val="row-content-rich-text"/>
              </w:rPr>
              <w:t xml:space="preserve">Note that Principle 4 is not applicable for this indicator.</w:t>
            </w:r>
          </w:p>
          <w:p>
            <w:pPr>
              <w:spacing w:after="160"/>
            </w:pPr>
            <w:r>
              <w:rPr>
                <w:rStyle w:val="row-content-rich-text"/>
                <w:b/>
              </w:rPr>
              <w:t xml:space="preserve">Overarching principle: </w:t>
            </w:r>
            <w:r>
              <w:rPr>
                <w:rStyle w:val="row-content-rich-text"/>
              </w:rPr>
              <w:t xml:space="preserve">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 </w:t>
            </w:r>
            <w:r>
              <w:rPr>
                <w:rStyle w:val="row-content-rich-text"/>
              </w:rPr>
              <w:t xml:space="preserve">The standard population used should be the Australian estimated resident population as at 30 June 2001 (for this indicator, females aged 15–44) based on the 2001 Census.</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 groups may be collapsed to obtain a denominator of 30 or more (provided that this is in accordance with Principle 3).</w:t>
            </w:r>
          </w:p>
          <w:p>
            <w:pPr>
              <w:spacing w:after="160"/>
            </w:pPr>
            <w:r>
              <w:rPr>
                <w:rStyle w:val="row-content-rich-text"/>
                <w:b/>
              </w:rPr>
              <w:t xml:space="preserve">Principle 3:</w:t>
            </w:r>
            <w:r>
              <w:rPr>
                <w:rStyle w:val="row-content-rich-text"/>
              </w:rPr>
              <w:t xml:space="preserve"> If the total number of Indigenous events (for example,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(that is, data are required for time series or jurisdictional comparisons), or does not result in a total of 20 or more events,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Not applicable.</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pStyle w:val="ListParagraph"/>
              <w:numPr>
                <w:ilvl w:val="0"/>
                <w:numId w:val="5"/>
              </w:numPr>
            </w:pPr>
            <w:r>
              <w:rPr>
                <w:rStyle w:val="row-content-rich-text"/>
              </w:rPr>
              <w:t xml:space="preserve">the age-standardised rates and rate ratios lie largely outside the range of the age-specific rates and rate ratios</w:t>
            </w:r>
          </w:p>
          <w:p>
            <w:pPr>
              <w:pStyle w:val="ListParagraph"/>
              <w:numPr>
                <w:ilvl w:val="0"/>
                <w:numId w:val="5"/>
              </w:numPr>
            </w:pPr>
            <w:r>
              <w:rPr>
                <w:rStyle w:val="row-content-rich-text"/>
              </w:rPr>
              <w:t xml:space="preserve">the pattern of age-specific rates of the Indigenous and non-Indigenous populations differ substantially (for example, deaths from a certain cause concentrate on younger ages for the Indigenous population while for the non-Indigenous population they may occur at older ages)</w:t>
            </w:r>
          </w:p>
          <w:p>
            <w:pPr>
              <w:pStyle w:val="ListParagraph"/>
              <w:numPr>
                <w:ilvl w:val="0"/>
                <w:numId w:val="5"/>
              </w:numPr>
            </w:pPr>
            <w:r>
              <w:rPr>
                <w:rStyle w:val="row-content-rich-text"/>
              </w:rPr>
              <w:t xml:space="preserve">the age-specific rates depart from the assumption of a uniform increase in death with age (for example, injury which peaks in the young adult to middle-ages and certain cancers amenable to treatment for some age groups)</w:t>
            </w:r>
          </w:p>
          <w:p>
            <w:pPr>
              <w:pStyle w:val="ListParagraph"/>
              <w:numPr>
                <w:ilvl w:val="0"/>
                <w:numId w:val="5"/>
              </w:numPr>
            </w:pPr>
            <w:r>
              <w:rPr>
                <w:rStyle w:val="row-content-rich-text"/>
              </w:rPr>
              <w:t xml:space="preserve">the condition of interest is largely confined to a specific age range (for example, sexually transmitted infections (STIs) and females who give birth). In such instances, age-standardisation could be restricted to include the age groups within this age range only.</w:t>
            </w:r>
          </w:p>
          <w:p>
            <w:pPr>
              <w:spacing w:after="160"/>
            </w:pPr>
            <w:r>
              <w:rPr>
                <w:rStyle w:val="row-content-rich-text"/>
                <w:b/>
              </w:rPr>
              <w:t xml:space="preserve">Principle 6:</w:t>
            </w:r>
            <w:r>
              <w:rPr>
                <w:rStyle w:val="row-content-rich-text"/>
              </w:rPr>
              <w:t xml:space="preserve"> For conditions restricted to a specific age group (for example, conditions originating in the perinatal period and sudden infant death syndrome (SIDS)), it is recommended to report the age-specific rate for the age group of interest instead of the age-standardised rate.</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 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71ccbe44f9b4d92">
              <w:r>
                <w:rPr>
                  <w:rStyle w:val="Hyperlink"/>
                </w:rPr>
                <w:t xml:space="preserve">1. 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266b38d5b484c8c">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 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 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473378e02f34b6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50c6cd7f164734">
              <w:r>
                <w:rPr>
                  <w:rStyle w:val="Hyperlink"/>
                </w:rPr>
                <w:t xml:space="preserve">Australian Health Performance Framework: PI 2.1.2–Females with an antenatal visit in the first trimester of pregnancy, 2019</w:t>
              </w:r>
            </w:hyperlink>
          </w:p>
          <w:p>
            <w:pPr>
              <w:spacing w:before="0" w:after="0"/>
            </w:pPr>
            <w:r>
              <w:rPr>
                <w:rStyle w:val="row-content"/>
                <w:color w:val="244061"/>
              </w:rPr>
              <w:t xml:space="preserve">       </w:t>
            </w:r>
            <w:hyperlink w:history="true" r:id="Rdc8d21acafa644b0">
              <w:r>
                <w:rPr>
                  <w:rStyle w:val="Hyperlink"/>
                  <w:color w:val="244061"/>
                </w:rPr>
                <w:t xml:space="preserve">Health</w:t>
              </w:r>
            </w:hyperlink>
            <w:r>
              <w:rPr>
                <w:rStyle w:val="row-content"/>
                <w:color w:val="244061"/>
              </w:rPr>
              <w:t xml:space="preserve">, Superseded 01/12/2020</w:t>
            </w:r>
          </w:p>
          <w:p>
            <w:r>
              <w:br/>
            </w:r>
          </w:p>
        </w:tc>
      </w:tr>
    </w:tbl>
    <w:p>
      <w:r>
        <w:br/>
      </w:r>
    </w:p>
    <w:sectPr>
      <w:footerReference xmlns:r="http://schemas.openxmlformats.org/officeDocument/2006/relationships" w:type="default" r:id="Ra354efa69ff245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728325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3d30e2f68f48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54efa69ff24584" /><Relationship Type="http://schemas.openxmlformats.org/officeDocument/2006/relationships/header" Target="/word/header1.xml" Id="R07d43a5e981d4397" /><Relationship Type="http://schemas.openxmlformats.org/officeDocument/2006/relationships/settings" Target="/word/settings.xml" Id="Rab87e2957b474ad2" /><Relationship Type="http://schemas.openxmlformats.org/officeDocument/2006/relationships/styles" Target="/word/styles.xml" Id="Rdbb742b1a20e44bd" /><Relationship Type="http://schemas.openxmlformats.org/officeDocument/2006/relationships/hyperlink" Target="https://meteor.aihw.gov.au/RegistrationAuthority/12" TargetMode="External" Id="Rf3b0d0b15be244aa" /><Relationship Type="http://schemas.openxmlformats.org/officeDocument/2006/relationships/hyperlink" Target="https://meteor.aihw.gov.au/content/728283" TargetMode="External" Id="R705695d1aa9d466f" /><Relationship Type="http://schemas.openxmlformats.org/officeDocument/2006/relationships/hyperlink" Target="https://meteor.aihw.gov.au/RegistrationAuthority/12" TargetMode="External" Id="Raa50b7574adf4c08" /><Relationship Type="http://schemas.openxmlformats.org/officeDocument/2006/relationships/numbering" Target="/word/numbering.xml" Id="Rb290f55eba9a4638" /><Relationship Type="http://schemas.openxmlformats.org/officeDocument/2006/relationships/hyperlink" Target="https://meteor.aihw.gov.au/content/673258" TargetMode="External" Id="Rebc7041b29164ea1" /><Relationship Type="http://schemas.openxmlformats.org/officeDocument/2006/relationships/hyperlink" Target="https://meteor.aihw.gov.au/content/392479" TargetMode="External" Id="R905b2ed0d1d549e6" /><Relationship Type="http://schemas.openxmlformats.org/officeDocument/2006/relationships/hyperlink" Target="https://meteor.aihw.gov.au/content/668811" TargetMode="External" Id="Rdf6d8b826eed4c4c" /><Relationship Type="http://schemas.openxmlformats.org/officeDocument/2006/relationships/hyperlink" Target="https://meteor.aihw.gov.au/content/673258" TargetMode="External" Id="Rab416b3f30a043da" /><Relationship Type="http://schemas.openxmlformats.org/officeDocument/2006/relationships/hyperlink" Target="https://meteor.aihw.gov.au/content/392479" TargetMode="External" Id="Rb999802b5e434b4d" /><Relationship Type="http://schemas.openxmlformats.org/officeDocument/2006/relationships/hyperlink" Target="https://meteor.aihw.gov.au/content/668811" TargetMode="External" Id="R8e0d25865df542e8" /><Relationship Type="http://schemas.openxmlformats.org/officeDocument/2006/relationships/hyperlink" Target="https://meteor.aihw.gov.au/content/602543" TargetMode="External" Id="R93ef69ffacdd4163" /><Relationship Type="http://schemas.openxmlformats.org/officeDocument/2006/relationships/hyperlink" Target="https://meteor.aihw.gov.au/content/392479" TargetMode="External" Id="R6921290cbf194390" /><Relationship Type="http://schemas.openxmlformats.org/officeDocument/2006/relationships/hyperlink" Target="https://meteor.aihw.gov.au/content/668811" TargetMode="External" Id="R2e600af450be43d1" /><Relationship Type="http://schemas.openxmlformats.org/officeDocument/2006/relationships/hyperlink" Target="https://meteor.aihw.gov.au/content/659725" TargetMode="External" Id="R0eb0d1c4a827451e" /><Relationship Type="http://schemas.openxmlformats.org/officeDocument/2006/relationships/hyperlink" Target="https://meteor.aihw.gov.au/content/392479" TargetMode="External" Id="Rbbcb39fe6e8a47a0" /><Relationship Type="http://schemas.openxmlformats.org/officeDocument/2006/relationships/hyperlink" Target="https://meteor.aihw.gov.au/content/668811" TargetMode="External" Id="R2f6c575a8dba48a8" /><Relationship Type="http://schemas.openxmlformats.org/officeDocument/2006/relationships/hyperlink" Target="https://meteor.aihw.gov.au/content/721641" TargetMode="External" Id="Ra71ccbe44f9b4d92" /><Relationship Type="http://schemas.openxmlformats.org/officeDocument/2006/relationships/hyperlink" Target="https://meteor.aihw.gov.au/content/392479" TargetMode="External" Id="Rc266b38d5b484c8c" /><Relationship Type="http://schemas.openxmlformats.org/officeDocument/2006/relationships/hyperlink" Target="https://meteor.aihw.gov.au/content/246013" TargetMode="External" Id="R6473378e02f34b6e" /><Relationship Type="http://schemas.openxmlformats.org/officeDocument/2006/relationships/hyperlink" Target="https://meteor.aihw.gov.au/content/715044" TargetMode="External" Id="R8550c6cd7f164734" /><Relationship Type="http://schemas.openxmlformats.org/officeDocument/2006/relationships/hyperlink" Target="https://meteor.aihw.gov.au/RegistrationAuthority/12" TargetMode="External" Id="Rdc8d21acafa644b0" /></Relationships>
</file>

<file path=word/_rels/header1.xml.rels>&#65279;<?xml version="1.0" encoding="utf-8"?><Relationships xmlns="http://schemas.openxmlformats.org/package/2006/relationships"><Relationship Type="http://schemas.openxmlformats.org/officeDocument/2006/relationships/image" Target="/media/image.png" Id="R453d30e2f68f4822" /></Relationships>
</file>