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77b172137a495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1.2.4–Inadequate fruit and vegetable intake,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1.2.4–Inadequate fruit and vegetable intake,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1.2.4–Inadequate fruit and vegetable intake,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and children with inadequate fruit and vegetable intake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3ea0fd7ee4deb">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not eating sufficient serves of fruit and vegetables each day to obtain a health benefit based on dietary guidelines published by the National Health and Medical Research Council (NHMRC)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healthy diet plays an important part in overall health and wellbeing. A poor diet, high in saturated fats and refined carbohydrates and with inadequate fruit and vegetable consumption, increases the risk of developing a range of chronic conditions, including cardiovascular disease (CVD), type 2 diabetes and chronic kidney disease (CKD).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81d3508c394df8">
              <w:r>
                <w:rPr>
                  <w:rStyle w:val="Hyperlink"/>
                </w:rPr>
                <w:t xml:space="preserve">Australian Health Performance Framework, 2020</w:t>
              </w:r>
            </w:hyperlink>
          </w:p>
          <w:p>
            <w:pPr>
              <w:spacing w:before="0" w:after="0"/>
            </w:pPr>
            <w:r>
              <w:rPr>
                <w:rStyle w:val="row-content"/>
                <w:color w:val="244061"/>
              </w:rPr>
              <w:t xml:space="preserve">       </w:t>
            </w:r>
            <w:hyperlink w:history="true" r:id="Rcefa32030484414b">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Inadequate fruit and vegetable intake is defined as not eating the minimum recommended serves of fruit and/or vegetables for their age.</w:t>
            </w:r>
          </w:p>
          <w:p>
            <w:pPr>
              <w:spacing w:after="160"/>
            </w:pPr>
            <w:r>
              <w:rPr>
                <w:rStyle w:val="row-content-rich-text"/>
              </w:rPr>
              <w:t xml:space="preserve">In the NHMRC 2013 guidelines, the minimum recommended number of serves of fruit per day is:</w:t>
            </w:r>
          </w:p>
          <w:p>
            <w:pPr>
              <w:pStyle w:val="ListParagraph"/>
              <w:numPr>
                <w:ilvl w:val="0"/>
                <w:numId w:val="2"/>
              </w:numPr>
            </w:pPr>
            <w:r>
              <w:rPr>
                <w:rStyle w:val="row-content-rich-text"/>
              </w:rPr>
              <w:t xml:space="preserve">1 for children aged 2–3</w:t>
            </w:r>
          </w:p>
          <w:p>
            <w:pPr>
              <w:pStyle w:val="ListParagraph"/>
              <w:numPr>
                <w:ilvl w:val="0"/>
                <w:numId w:val="2"/>
              </w:numPr>
            </w:pPr>
            <w:r>
              <w:rPr>
                <w:rStyle w:val="row-content-rich-text"/>
              </w:rPr>
              <w:t xml:space="preserve">1½ for children aged 4–8, and</w:t>
            </w:r>
          </w:p>
          <w:p>
            <w:pPr>
              <w:pStyle w:val="ListParagraph"/>
              <w:numPr>
                <w:ilvl w:val="0"/>
                <w:numId w:val="2"/>
              </w:numPr>
            </w:pPr>
            <w:r>
              <w:rPr>
                <w:rStyle w:val="row-content-rich-text"/>
              </w:rPr>
              <w:t xml:space="preserve">2 for people aged 9 and over.</w:t>
            </w:r>
          </w:p>
          <w:p>
            <w:pPr>
              <w:spacing w:after="160"/>
            </w:pPr>
            <w:r>
              <w:rPr>
                <w:rStyle w:val="row-content-rich-text"/>
              </w:rPr>
              <w:t xml:space="preserve">The minimum recommended number of serves of vegetables per day is:</w:t>
            </w:r>
          </w:p>
          <w:p>
            <w:pPr>
              <w:pStyle w:val="ListParagraph"/>
              <w:numPr>
                <w:ilvl w:val="0"/>
                <w:numId w:val="3"/>
              </w:numPr>
            </w:pPr>
            <w:r>
              <w:rPr>
                <w:rStyle w:val="row-content-rich-text"/>
              </w:rPr>
              <w:t xml:space="preserve">2½ for children aged 2–3</w:t>
            </w:r>
          </w:p>
          <w:p>
            <w:pPr>
              <w:pStyle w:val="ListParagraph"/>
              <w:numPr>
                <w:ilvl w:val="0"/>
                <w:numId w:val="3"/>
              </w:numPr>
            </w:pPr>
            <w:r>
              <w:rPr>
                <w:rStyle w:val="row-content-rich-text"/>
              </w:rPr>
              <w:t xml:space="preserve">4½ for children aged 4–8</w:t>
            </w:r>
          </w:p>
          <w:p>
            <w:pPr>
              <w:pStyle w:val="ListParagraph"/>
              <w:numPr>
                <w:ilvl w:val="0"/>
                <w:numId w:val="3"/>
              </w:numPr>
            </w:pPr>
            <w:r>
              <w:rPr>
                <w:rStyle w:val="row-content-rich-text"/>
              </w:rPr>
              <w:t xml:space="preserve">5 for children aged 9–11, females aged 12 and over and males aged 70 and over</w:t>
            </w:r>
          </w:p>
          <w:p>
            <w:pPr>
              <w:pStyle w:val="ListParagraph"/>
              <w:numPr>
                <w:ilvl w:val="0"/>
                <w:numId w:val="3"/>
              </w:numPr>
            </w:pPr>
            <w:r>
              <w:rPr>
                <w:rStyle w:val="row-content-rich-text"/>
              </w:rPr>
              <w:t xml:space="preserve">5½ for males aged 12–18 and 51–70, and</w:t>
            </w:r>
          </w:p>
          <w:p>
            <w:pPr>
              <w:pStyle w:val="ListParagraph"/>
              <w:numPr>
                <w:ilvl w:val="0"/>
                <w:numId w:val="3"/>
              </w:numPr>
            </w:pPr>
            <w:r>
              <w:rPr>
                <w:rStyle w:val="row-content-rich-text"/>
              </w:rPr>
              <w:t xml:space="preserve">6 for males aged 19–50.</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did not eat the recommended serves of fruits</w:t>
            </w:r>
          </w:p>
          <w:p>
            <w:pPr>
              <w:spacing w:after="160"/>
            </w:pPr>
            <w:r>
              <w:rPr>
                <w:rStyle w:val="row-content-rich-text"/>
              </w:rPr>
              <w:t xml:space="preserve">Adults: Number of persons aged 18 and over who did not eat the recommended serves of vegetables</w:t>
            </w:r>
          </w:p>
          <w:p>
            <w:pPr>
              <w:spacing w:after="160"/>
            </w:pPr>
            <w:r>
              <w:rPr>
                <w:rStyle w:val="row-content-rich-text"/>
              </w:rPr>
              <w:t xml:space="preserve">Children: Number of persons aged 2–17 who did not eat the recommended serves of fruits</w:t>
            </w:r>
          </w:p>
          <w:p>
            <w:pPr>
              <w:spacing w:after="160"/>
            </w:pPr>
            <w:r>
              <w:rPr>
                <w:rStyle w:val="row-content-rich-text"/>
              </w:rPr>
              <w:t xml:space="preserve">Children: Number of persons aged 2–17 who did not eat the recommended serves of vegetables</w:t>
            </w:r>
          </w:p>
          <w:p>
            <w:pPr>
              <w:spacing w:after="160"/>
            </w:pPr>
            <w:r>
              <w:rPr>
                <w:rStyle w:val="row-content-rich-text"/>
              </w:rPr>
              <w:t xml:space="preserve">Indigenous population: Number of persons aged 15 and over who did not eat the recommended serves of fruits</w:t>
            </w:r>
          </w:p>
          <w:p>
            <w:pPr/>
            <w:r>
              <w:rPr>
                <w:rStyle w:val="row-content-rich-text"/>
              </w:rPr>
              <w:t xml:space="preserve">Indigenous population: Number of persons aged 15 and over who did not eat the recommended serves of vegetables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c4e2becb4534c8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fruit consumption met recommended guidelines (2013 NHMRC guidelines)</w:t>
            </w:r>
          </w:p>
          <w:p>
            <w:r>
              <w:rPr>
                <w:rStyle w:val="row-content"/>
              </w:rPr>
              <w:t xml:space="preserve"> </w:t>
            </w:r>
          </w:p>
          <w:p>
            <w:r>
              <w:rPr>
                <w:rStyle w:val="row-content"/>
                <w:b/>
              </w:rPr>
              <w:t xml:space="preserve">Data Source</w:t>
            </w:r>
          </w:p>
          <w:p>
            <w:hyperlink w:history="true" r:id="R4b7970c2375248a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vegetable consumption met recommended guidelines (2013 NHMRC guidelines)</w:t>
            </w:r>
          </w:p>
          <w:p>
            <w:r>
              <w:rPr>
                <w:rStyle w:val="row-content"/>
              </w:rPr>
              <w:t xml:space="preserve"> </w:t>
            </w:r>
          </w:p>
          <w:p>
            <w:r>
              <w:rPr>
                <w:rStyle w:val="row-content"/>
                <w:b/>
              </w:rPr>
              <w:t xml:space="preserve">Data Source</w:t>
            </w:r>
          </w:p>
          <w:p>
            <w:hyperlink w:history="true" r:id="R0e3f4ca48213438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9abff01618f49d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fruit consumption met recommended guidelines (2013 NHMRC guidelines)</w:t>
            </w:r>
          </w:p>
          <w:p>
            <w:r>
              <w:rPr>
                <w:rStyle w:val="row-content"/>
              </w:rPr>
              <w:t xml:space="preserve"> </w:t>
            </w:r>
          </w:p>
          <w:p>
            <w:r>
              <w:rPr>
                <w:rStyle w:val="row-content"/>
                <w:b/>
              </w:rPr>
              <w:t xml:space="preserve">Data Source</w:t>
            </w:r>
          </w:p>
          <w:p>
            <w:hyperlink w:history="true" r:id="R8d0f21d13f1343b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vegetable consumption met recommended guidelines (2013 NHMRC guidelines)</w:t>
            </w:r>
          </w:p>
          <w:p>
            <w:r>
              <w:rPr>
                <w:rStyle w:val="row-content"/>
              </w:rPr>
              <w:t xml:space="preserve"> </w:t>
            </w:r>
          </w:p>
          <w:p>
            <w:r>
              <w:rPr>
                <w:rStyle w:val="row-content"/>
                <w:b/>
              </w:rPr>
              <w:t xml:space="preserve">Data Source</w:t>
            </w:r>
          </w:p>
          <w:p>
            <w:hyperlink w:history="true" r:id="R89b739e0ae544ee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spacing w:after="160"/>
            </w:pPr>
            <w:r>
              <w:rPr>
                <w:rStyle w:val="row-content-rich-text"/>
              </w:rPr>
              <w:t xml:space="preserve">Children: Population aged 2–17</w:t>
            </w:r>
          </w:p>
          <w:p>
            <w:pPr/>
            <w:r>
              <w:rPr>
                <w:rStyle w:val="row-content-rich-text"/>
              </w:rPr>
              <w:t xml:space="preserve">Indigenous population: 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07058d8f962467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d4c4bf238be4da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aged 18 and over with inadequate fruit and vegetable intake.</w:t>
            </w:r>
          </w:p>
          <w:p>
            <w:pPr>
              <w:spacing w:after="160"/>
            </w:pPr>
            <w:r>
              <w:rPr>
                <w:rStyle w:val="row-content-rich-text"/>
              </w:rPr>
              <w:t xml:space="preserve">2017–18—Nationally, adults aged 18 and over with inadequate fruit and vegetable intake by:</w:t>
            </w:r>
          </w:p>
          <w:p>
            <w:pPr>
              <w:pStyle w:val="ListParagraph"/>
              <w:numPr>
                <w:ilvl w:val="0"/>
                <w:numId w:val="4"/>
              </w:numPr>
            </w:pPr>
            <w:r>
              <w:rPr>
                <w:rStyle w:val="row-content-rich-text"/>
              </w:rPr>
              <w:t xml:space="preserve">Sex and age group</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2017–18—State and territory, adults aged 18 and over with inadequate fruit and vegetable intake.</w:t>
            </w:r>
          </w:p>
          <w:p>
            <w:pPr>
              <w:spacing w:after="160"/>
            </w:pPr>
            <w:r>
              <w:rPr>
                <w:rStyle w:val="row-content-rich-text"/>
              </w:rPr>
              <w:t xml:space="preserve">2017–18—Nationally, children aged 2–17 with inadequate fruit and vegetable intake by:</w:t>
            </w:r>
          </w:p>
          <w:p>
            <w:pPr>
              <w:pStyle w:val="ListParagraph"/>
              <w:numPr>
                <w:ilvl w:val="0"/>
                <w:numId w:val="5"/>
              </w:numPr>
            </w:pPr>
            <w:r>
              <w:rPr>
                <w:rStyle w:val="row-content-rich-text"/>
              </w:rPr>
              <w:t xml:space="preserve">Sex.</w:t>
            </w:r>
          </w:p>
          <w:p>
            <w:pPr>
              <w:spacing w:after="160"/>
            </w:pPr>
            <w:r>
              <w:rPr>
                <w:rStyle w:val="row-content-rich-text"/>
              </w:rPr>
              <w:t xml:space="preserve">Nationally, persons aged 15 and over with inadequate fruit and vegetable intake by:</w:t>
            </w:r>
          </w:p>
          <w:p>
            <w:pPr>
              <w:pStyle w:val="ListParagraph"/>
              <w:numPr>
                <w:ilvl w:val="0"/>
                <w:numId w:val="6"/>
              </w:numPr>
            </w:pPr>
            <w:r>
              <w:rPr>
                <w:rStyle w:val="row-content-rich-text"/>
              </w:rPr>
              <w:t xml:space="preserve">Indigenous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34f5421a20b4e2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5bcafaddf3a4b5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482122d39ad428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07d3a1219e0f4f6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573962accbd4d3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ce764f6c83b4e7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2014–15 (Indigenous: NATSISS).</w:t>
            </w:r>
          </w:p>
          <w:p>
            <w:pPr/>
            <w:r>
              <w:rPr>
                <w:rStyle w:val="row-content-rich-text"/>
              </w:rPr>
              <w:t xml:space="preserve">Data for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d55a9d4bff4751">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6708c74b8a4325">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44846c16e864a0a">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and measures of inadequate fruit and/or vegetable consumption are subject to change, affecting time trends. Data are self-reported survey results, and are subject to recall bias and sampling errors.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2013. Australian Dietary Guidelines, Canberra: National Health and Medical Research Council.</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7f55ffa23d48d0">
              <w:r>
                <w:rPr>
                  <w:rStyle w:val="Hyperlink"/>
                </w:rPr>
                <w:t xml:space="preserve">Australian Health Performance Framework: PI 1.2.4–Inadequate fruit and vegetable intake, 2019</w:t>
              </w:r>
            </w:hyperlink>
          </w:p>
          <w:p>
            <w:pPr>
              <w:spacing w:before="0" w:after="0"/>
            </w:pPr>
            <w:r>
              <w:rPr>
                <w:rStyle w:val="row-content"/>
                <w:color w:val="244061"/>
              </w:rPr>
              <w:t xml:space="preserve">       </w:t>
            </w:r>
            <w:hyperlink w:history="true" r:id="R14e6b53369a64822">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cb0341d2e320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6e4ed6380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341d2e3204791" /><Relationship Type="http://schemas.openxmlformats.org/officeDocument/2006/relationships/header" Target="/word/header1.xml" Id="R9fbc1b87893944fc" /><Relationship Type="http://schemas.openxmlformats.org/officeDocument/2006/relationships/settings" Target="/word/settings.xml" Id="R78dcee8c16d14e0e" /><Relationship Type="http://schemas.openxmlformats.org/officeDocument/2006/relationships/styles" Target="/word/styles.xml" Id="R10106a494c5a45cc" /><Relationship Type="http://schemas.openxmlformats.org/officeDocument/2006/relationships/hyperlink" Target="https://meteor.aihw.gov.au/RegistrationAuthority/12" TargetMode="External" Id="R1cb3ea0fd7ee4deb" /><Relationship Type="http://schemas.openxmlformats.org/officeDocument/2006/relationships/hyperlink" Target="https://meteor.aihw.gov.au/content/728283" TargetMode="External" Id="Rc281d3508c394df8" /><Relationship Type="http://schemas.openxmlformats.org/officeDocument/2006/relationships/hyperlink" Target="https://meteor.aihw.gov.au/RegistrationAuthority/12" TargetMode="External" Id="Rcefa32030484414b" /><Relationship Type="http://schemas.openxmlformats.org/officeDocument/2006/relationships/numbering" Target="/word/numbering.xml" Id="Rf9b89161ae0144f5" /><Relationship Type="http://schemas.openxmlformats.org/officeDocument/2006/relationships/hyperlink" Target="https://meteor.aihw.gov.au/content/644707" TargetMode="External" Id="R1c4e2becb4534c85" /><Relationship Type="http://schemas.openxmlformats.org/officeDocument/2006/relationships/hyperlink" Target="https://meteor.aihw.gov.au/content/644707" TargetMode="External" Id="R4b7970c2375248a4" /><Relationship Type="http://schemas.openxmlformats.org/officeDocument/2006/relationships/hyperlink" Target="https://meteor.aihw.gov.au/content/644707" TargetMode="External" Id="R0e3f4ca482134388" /><Relationship Type="http://schemas.openxmlformats.org/officeDocument/2006/relationships/hyperlink" Target="https://meteor.aihw.gov.au/content/716316" TargetMode="External" Id="R29abff01618f49db" /><Relationship Type="http://schemas.openxmlformats.org/officeDocument/2006/relationships/hyperlink" Target="https://meteor.aihw.gov.au/content/716316" TargetMode="External" Id="R8d0f21d13f1343b1" /><Relationship Type="http://schemas.openxmlformats.org/officeDocument/2006/relationships/hyperlink" Target="https://meteor.aihw.gov.au/content/716316" TargetMode="External" Id="R89b739e0ae544ee0" /><Relationship Type="http://schemas.openxmlformats.org/officeDocument/2006/relationships/hyperlink" Target="https://meteor.aihw.gov.au/content/644707" TargetMode="External" Id="R207058d8f962467f" /><Relationship Type="http://schemas.openxmlformats.org/officeDocument/2006/relationships/hyperlink" Target="https://meteor.aihw.gov.au/content/716316" TargetMode="External" Id="Rdd4c4bf238be4dac" /><Relationship Type="http://schemas.openxmlformats.org/officeDocument/2006/relationships/hyperlink" Target="https://meteor.aihw.gov.au/content/644707" TargetMode="External" Id="R634f5421a20b4e22" /><Relationship Type="http://schemas.openxmlformats.org/officeDocument/2006/relationships/hyperlink" Target="https://meteor.aihw.gov.au/content/716316" TargetMode="External" Id="R15bcafaddf3a4b54" /><Relationship Type="http://schemas.openxmlformats.org/officeDocument/2006/relationships/hyperlink" Target="https://meteor.aihw.gov.au/content/716316" TargetMode="External" Id="Rd482122d39ad4285" /><Relationship Type="http://schemas.openxmlformats.org/officeDocument/2006/relationships/hyperlink" Target="https://meteor.aihw.gov.au/content/716316" TargetMode="External" Id="R07d3a1219e0f4f6d" /><Relationship Type="http://schemas.openxmlformats.org/officeDocument/2006/relationships/hyperlink" Target="https://meteor.aihw.gov.au/content/716316" TargetMode="External" Id="Rf573962accbd4d34" /><Relationship Type="http://schemas.openxmlformats.org/officeDocument/2006/relationships/hyperlink" Target="https://meteor.aihw.gov.au/content/716316" TargetMode="External" Id="Rdce764f6c83b4e77" /><Relationship Type="http://schemas.openxmlformats.org/officeDocument/2006/relationships/hyperlink" Target="https://meteor.aihw.gov.au/content/721637" TargetMode="External" Id="Re4d55a9d4bff4751" /><Relationship Type="http://schemas.openxmlformats.org/officeDocument/2006/relationships/hyperlink" Target="https://meteor.aihw.gov.au/content/644707" TargetMode="External" Id="Ra36708c74b8a4325" /><Relationship Type="http://schemas.openxmlformats.org/officeDocument/2006/relationships/hyperlink" Target="https://meteor.aihw.gov.au/content/716316" TargetMode="External" Id="R544846c16e864a0a" /><Relationship Type="http://schemas.openxmlformats.org/officeDocument/2006/relationships/hyperlink" Target="https://meteor.aihw.gov.au/content/715403" TargetMode="External" Id="Rfd7f55ffa23d48d0" /><Relationship Type="http://schemas.openxmlformats.org/officeDocument/2006/relationships/hyperlink" Target="https://meteor.aihw.gov.au/RegistrationAuthority/12" TargetMode="External" Id="R14e6b53369a64822" /></Relationships>
</file>

<file path=word/_rels/header1.xml.rels>&#65279;<?xml version="1.0" encoding="utf-8"?><Relationships xmlns="http://schemas.openxmlformats.org/package/2006/relationships"><Relationship Type="http://schemas.openxmlformats.org/officeDocument/2006/relationships/image" Target="/media/image.png" Id="Ra6e6e4ed63804d2a" /></Relationships>
</file>