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3f8f8a62084765"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1.1.2–Educational attainment for non-school qualification at Certificate III level or above,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1.1.2–Educational attainment for non-school qualification at Certificate III level or above,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1.1.2–Educational attainment for non-school qualification at Certificate III level or above,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da31fbf2e94297">
              <w:r>
                <w:rPr>
                  <w:rStyle w:val="Hyperlink"/>
                  <w:color w:val="244061"/>
                </w:rPr>
                <w:t xml:space="preserve">Health</w:t>
              </w:r>
            </w:hyperlink>
            <w:r>
              <w:rPr>
                <w:rStyle w:val="row-content"/>
                <w:color w:val="244061"/>
              </w:rPr>
              <w:t xml:space="preserve">, Superseded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25–64 with non-school qualifications at Australian Qualifications Framework (AQF) Certificate level III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Educational attainment, as a social determinant of health, plays a key role in determining socioeconomic status. Educational attainment is associated with better health throughout life. Education equips people to achieve stable employment, have a secure income, live in adequate housing, provide for families and cope with ill health by assisting them to make informed health care choices. An individual's education level affects not only their own health, but that of their family, particularly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7f1f2cdf5441dc">
              <w:r>
                <w:rPr>
                  <w:rStyle w:val="Hyperlink"/>
                </w:rPr>
                <w:t xml:space="preserve">Australian Health Performance Framework, 2020</w:t>
              </w:r>
            </w:hyperlink>
          </w:p>
          <w:p>
            <w:pPr>
              <w:spacing w:before="0" w:after="0"/>
            </w:pPr>
            <w:r>
              <w:rPr>
                <w:rStyle w:val="row-content"/>
                <w:color w:val="244061"/>
              </w:rPr>
              <w:t xml:space="preserve">       </w:t>
            </w:r>
            <w:hyperlink w:history="true" r:id="R036018477deb40e3">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proportion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25–64 with a non-school qualification at the AQF Certificate level III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e546620a7ef4b60">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f93ad5ae74e8421f">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cf6f2dc9366422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Age groups (25-64; 25-29; 30-34; 35-39; 40-44; 45-54; 55-64)</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Socioeconomic area - SEIFA IRSD Quintiles 1-5</w:t>
            </w:r>
          </w:p>
          <w:p>
            <w:pPr>
              <w:pStyle w:val="ListParagraph"/>
              <w:numPr>
                <w:ilvl w:val="0"/>
                <w:numId w:val="2"/>
              </w:numPr>
            </w:pPr>
            <w:r>
              <w:rPr>
                <w:rStyle w:val="row-content-rich-text"/>
              </w:rPr>
              <w:t xml:space="preserve">Remoteness (Australian Statistical Geography Standard (ASGS) 2016 Remoteness Structure): Major cities, Inner regional, Remote and Very remote.</w:t>
            </w:r>
          </w:p>
          <w:p>
            <w:pPr>
              <w:spacing w:after="160"/>
            </w:pPr>
            <w:r>
              <w:rPr>
                <w:rStyle w:val="row-content-rich-text"/>
              </w:rPr>
              <w:t xml:space="preserve">State/territory by:</w:t>
            </w:r>
          </w:p>
          <w:p>
            <w:pPr>
              <w:pStyle w:val="ListParagraph"/>
              <w:numPr>
                <w:ilvl w:val="0"/>
                <w:numId w:val="3"/>
              </w:numPr>
            </w:pPr>
            <w:r>
              <w:rPr>
                <w:rStyle w:val="row-content-rich-text"/>
              </w:rPr>
              <w:t xml:space="preserve">Age group (25-64; 25-29; 30-34; 35-39; 40-44; 45-54; 55-64)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w:t>
            </w:r>
          </w:p>
          <w:p>
            <w:r>
              <w:rPr>
                <w:rStyle w:val="row-content"/>
              </w:rPr>
              <w:t xml:space="preserve"> </w:t>
            </w:r>
          </w:p>
          <w:p>
            <w:r>
              <w:rPr>
                <w:rStyle w:val="row-content"/>
                <w:b/>
              </w:rPr>
              <w:t xml:space="preserve">Data Source</w:t>
            </w:r>
          </w:p>
          <w:p>
            <w:hyperlink w:history="true" r:id="R7f27bf7fd8f74b3e">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9f168c093fe74443">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bdda2e9a7104444">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Socioeconomic area - SEIFA IRSD Quintiles 1-5</w:t>
            </w:r>
          </w:p>
          <w:p>
            <w:r>
              <w:rPr>
                <w:rStyle w:val="row-content"/>
              </w:rPr>
              <w:t xml:space="preserve"> </w:t>
            </w:r>
          </w:p>
          <w:p>
            <w:r>
              <w:rPr>
                <w:rStyle w:val="row-content"/>
                <w:b/>
              </w:rPr>
              <w:t xml:space="preserve">Data Source</w:t>
            </w:r>
          </w:p>
          <w:p>
            <w:hyperlink w:history="true" r:id="Re8f0a309881d4255">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AHPF reporting: 2017</w:t>
            </w:r>
          </w:p>
          <w:p>
            <w:pPr>
              <w:spacing w:after="160"/>
            </w:pPr>
            <w:r>
              <w:rPr>
                <w:rStyle w:val="row-content-rich-text"/>
              </w:rPr>
              <w:t xml:space="preserve">The most recent survey data for this indicator are:</w:t>
            </w:r>
          </w:p>
          <w:p>
            <w:pPr>
              <w:pStyle w:val="ListParagraph"/>
              <w:numPr>
                <w:ilvl w:val="0"/>
                <w:numId w:val="4"/>
              </w:numPr>
            </w:pPr>
            <w:r>
              <w:rPr>
                <w:rStyle w:val="row-content-rich-text"/>
              </w:rPr>
              <w:t xml:space="preserve">Non-Indigenous and total: 2018 SEW</w:t>
            </w:r>
          </w:p>
          <w:p>
            <w:pPr>
              <w:spacing w:after="160"/>
            </w:pPr>
            <w:r>
              <w:rPr>
                <w:rStyle w:val="row-content-rich-text"/>
              </w:rPr>
              <w:t xml:space="preserve">Note that similar indicators appear within the National Indigenous Reform Agreement (NIRA) and the Aboriginal and Torres Strait Islander Health Performance Framework (ATSI HPF). There are, however, slight variations between the definitions used in these frameworks, for example the age range and whether it is 'with' a qualification or 'with or working towards' the qualification.</w:t>
            </w:r>
          </w:p>
          <w:p>
            <w:pPr>
              <w:spacing w:after="160"/>
            </w:pPr>
            <w:r>
              <w:rPr>
                <w:rStyle w:val="row-content-rich-text"/>
              </w:rPr>
              <w:t xml:space="preserve">People whose level of non-school qualification is determined to be certificate-level but is not able to be further defined (that is, coded as Certificate nfd) are assumed to have attained a qualification below Certificate level III and are therefore excluded from the numerator for this indicator.</w:t>
            </w:r>
          </w:p>
          <w:p>
            <w:pPr>
              <w:spacing w:after="160"/>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The denominator (total 25</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r>
              <w:rPr>
                <w:rStyle w:val="row-content-rich-text"/>
              </w:rPr>
              <w:t xml:space="preserve">The size of the standard errors mean that SEW data may not be adequate for measuring change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450bb628604b9f">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8307972017474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4d10206968416d">
              <w:r>
                <w:rPr>
                  <w:rStyle w:val="Hyperlink"/>
                </w:rPr>
                <w:t xml:space="preserve">Australian Health Performance Framework: PI 1.1.2–Educational attainment for non-school qualification at Certificate III level or above, 2021</w:t>
              </w:r>
            </w:hyperlink>
          </w:p>
          <w:p>
            <w:pPr>
              <w:spacing w:before="0" w:after="0"/>
            </w:pPr>
            <w:r>
              <w:rPr>
                <w:rStyle w:val="row-content"/>
                <w:color w:val="244061"/>
              </w:rPr>
              <w:t xml:space="preserve">       </w:t>
            </w:r>
            <w:hyperlink w:history="true" r:id="Rcdb659aed9344174">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c5fe68a6c65a40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728287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0e9c08f3dc45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fe68a6c65a40cf" /><Relationship Type="http://schemas.openxmlformats.org/officeDocument/2006/relationships/header" Target="/word/header1.xml" Id="R1ac7bca21adb4651" /><Relationship Type="http://schemas.openxmlformats.org/officeDocument/2006/relationships/settings" Target="/word/settings.xml" Id="R5f862e7327964baa" /><Relationship Type="http://schemas.openxmlformats.org/officeDocument/2006/relationships/styles" Target="/word/styles.xml" Id="Rcc8a497f635c4fe5" /><Relationship Type="http://schemas.openxmlformats.org/officeDocument/2006/relationships/hyperlink" Target="https://meteor.aihw.gov.au/RegistrationAuthority/12" TargetMode="External" Id="R8bda31fbf2e94297" /><Relationship Type="http://schemas.openxmlformats.org/officeDocument/2006/relationships/hyperlink" Target="https://meteor.aihw.gov.au/content/728283" TargetMode="External" Id="R3c7f1f2cdf5441dc" /><Relationship Type="http://schemas.openxmlformats.org/officeDocument/2006/relationships/hyperlink" Target="https://meteor.aihw.gov.au/RegistrationAuthority/12" TargetMode="External" Id="R036018477deb40e3" /><Relationship Type="http://schemas.openxmlformats.org/officeDocument/2006/relationships/hyperlink" Target="https://meteor.aihw.gov.au/content/396601" TargetMode="External" Id="R9e546620a7ef4b60" /><Relationship Type="http://schemas.openxmlformats.org/officeDocument/2006/relationships/hyperlink" Target="https://meteor.aihw.gov.au/content/396601" TargetMode="External" Id="Rf93ad5ae74e8421f" /><Relationship Type="http://schemas.openxmlformats.org/officeDocument/2006/relationships/hyperlink" Target="https://meteor.aihw.gov.au/content/396601" TargetMode="External" Id="Rdcf6f2dc9366422b" /><Relationship Type="http://schemas.openxmlformats.org/officeDocument/2006/relationships/numbering" Target="/word/numbering.xml" Id="Re229e6fe75ea4862" /><Relationship Type="http://schemas.openxmlformats.org/officeDocument/2006/relationships/hyperlink" Target="https://meteor.aihw.gov.au/content/396601" TargetMode="External" Id="R7f27bf7fd8f74b3e" /><Relationship Type="http://schemas.openxmlformats.org/officeDocument/2006/relationships/hyperlink" Target="https://meteor.aihw.gov.au/content/396601" TargetMode="External" Id="R9f168c093fe74443" /><Relationship Type="http://schemas.openxmlformats.org/officeDocument/2006/relationships/hyperlink" Target="https://meteor.aihw.gov.au/content/396601" TargetMode="External" Id="R2bdda2e9a7104444" /><Relationship Type="http://schemas.openxmlformats.org/officeDocument/2006/relationships/hyperlink" Target="https://meteor.aihw.gov.au/content/396601" TargetMode="External" Id="Re8f0a309881d4255" /><Relationship Type="http://schemas.openxmlformats.org/officeDocument/2006/relationships/hyperlink" Target="https://meteor.aihw.gov.au/content/396601" TargetMode="External" Id="Rb1450bb628604b9f" /><Relationship Type="http://schemas.openxmlformats.org/officeDocument/2006/relationships/hyperlink" Target="https://meteor.aihw.gov.au/content/246013" TargetMode="External" Id="Rab8307972017474d" /><Relationship Type="http://schemas.openxmlformats.org/officeDocument/2006/relationships/hyperlink" Target="https://meteor.aihw.gov.au/content/778080" TargetMode="External" Id="R7e4d10206968416d" /><Relationship Type="http://schemas.openxmlformats.org/officeDocument/2006/relationships/hyperlink" Target="https://meteor.aihw.gov.au/RegistrationAuthority/12" TargetMode="External" Id="Rcdb659aed9344174" /></Relationships>
</file>

<file path=word/_rels/header1.xml.rels>&#65279;<?xml version="1.0" encoding="utf-8"?><Relationships xmlns="http://schemas.openxmlformats.org/package/2006/relationships"><Relationship Type="http://schemas.openxmlformats.org/officeDocument/2006/relationships/image" Target="/media/image.png" Id="Rff0e9c08f3dc4557" /></Relationships>
</file>