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90770fbc34e0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1.1.1–Proportion of people with low income,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1.1.1–Proportion of people with low income,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1.1.1–Proportion of people with low income,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652f5ac164173">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living in households with an equivalised disposable household income is less than 50% of the national median equivalised disposable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plays a role in determining health and wellbeing through its impact on socioeconomic status.</w:t>
            </w:r>
          </w:p>
          <w:p>
            <w:pPr/>
            <w:r>
              <w:rPr>
                <w:rStyle w:val="row-content-rich-text"/>
              </w:rPr>
              <w:t xml:space="preserve">Lower levels of income, educational attainment and occupation level—components of socioeconomic status—are generally associated with lower levels of health. Those from lower socioeconomic groups are at greater risk of poor health, have higher rates of illness, disability and death, and live shorter lives than those from higher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c0b165772b42c9">
              <w:r>
                <w:rPr>
                  <w:rStyle w:val="Hyperlink"/>
                </w:rPr>
                <w:t xml:space="preserve">Australian Health Performance Framework, 2020</w:t>
              </w:r>
            </w:hyperlink>
          </w:p>
          <w:p>
            <w:pPr>
              <w:spacing w:before="0" w:after="0"/>
            </w:pPr>
            <w:r>
              <w:rPr>
                <w:rStyle w:val="row-content"/>
                <w:color w:val="244061"/>
              </w:rPr>
              <w:t xml:space="preserve">       </w:t>
            </w:r>
            <w:hyperlink w:history="true" r:id="R728de4c781c6410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15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living in households (excluding very remote areas) with an equivalised disposable weekly household income less than 50% of the national median weekly equivalised disposable household income.</w:t>
            </w:r>
          </w:p>
          <w:p>
            <w:pPr>
              <w:spacing w:after="160"/>
            </w:pPr>
            <w:r>
              <w:rPr>
                <w:rStyle w:val="row-content-rich-text"/>
              </w:rPr>
              <w:t xml:space="preserve">Presented as a percentage.</w:t>
            </w:r>
          </w:p>
          <w:p>
            <w:pPr>
              <w:spacing w:after="160"/>
            </w:pPr>
            <w:r>
              <w:rPr>
                <w:rStyle w:val="row-content-rich-text"/>
              </w:rPr>
              <w:t xml:space="preserve">Households refers to private dwellings. Private dwelling are houses, flats, home units, caravans, garages, tents and other structures used as places of residence. Long-stay caravan parks are also included. Residents of non-private dwellings are excluded. Non-private dwellings include hotels, boarding schools, boarding houses, aged care facilities and institutions.</w:t>
            </w:r>
          </w:p>
          <w:p>
            <w:pPr>
              <w:spacing w:after="160"/>
            </w:pPr>
            <w:r>
              <w:rPr>
                <w:rStyle w:val="row-content-rich-text"/>
              </w:rPr>
              <w:t xml:space="preserve">Disposable income is gross income less income tax, the Medicare levy and the Medicare number of people in the household including adults and children.</w:t>
            </w:r>
          </w:p>
          <w:p>
            <w:pPr/>
            <w:r>
              <w:rPr>
                <w:rStyle w:val="row-content-rich-text"/>
              </w:rPr>
              <w:t xml:space="preserve">Equivalised household income are income estimates adjusted by equivalence factors to standardise them for variations in household size and composition, while taking into account the economies of scale that arise from sharing dwellings. Larger households usually require a greater level of income to maintain the same standard of living as smaller households, and the needs of adults are usually greater than the needs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living in a household (excluding very remote areas) with an equivalised disposable weekly household income less than 50% of the national median weekly equivalised disposable household income, excluding those in living 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&lt;50% national weekly EDHI</w:t>
            </w:r>
          </w:p>
          <w:p>
            <w:r>
              <w:rPr>
                <w:rStyle w:val="row-content"/>
              </w:rPr>
              <w:t xml:space="preserve"> </w:t>
            </w:r>
          </w:p>
          <w:p>
            <w:r>
              <w:rPr>
                <w:rStyle w:val="row-content"/>
                <w:b/>
              </w:rPr>
              <w:t xml:space="preserve">Data Source</w:t>
            </w:r>
          </w:p>
          <w:p>
            <w:hyperlink w:history="true" r:id="Rb398a0e679484dcc">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Person–total</w:t>
            </w:r>
          </w:p>
          <w:p>
            <w:r>
              <w:rPr>
                <w:rStyle w:val="row-content"/>
              </w:rPr>
              <w:t xml:space="preserve"> </w:t>
            </w:r>
          </w:p>
          <w:p>
            <w:r>
              <w:rPr>
                <w:rStyle w:val="row-content"/>
                <w:b/>
              </w:rPr>
              <w:t xml:space="preserve">Data Source</w:t>
            </w:r>
          </w:p>
          <w:p>
            <w:hyperlink w:history="true" r:id="R5d300b3014754800">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State/territory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remoteness area</w:t>
            </w:r>
          </w:p>
          <w:p>
            <w:r>
              <w:rPr>
                <w:rStyle w:val="row-content"/>
              </w:rPr>
              <w:t xml:space="preserve"> </w:t>
            </w:r>
          </w:p>
          <w:p>
            <w:r>
              <w:rPr>
                <w:rStyle w:val="row-content"/>
                <w:b/>
              </w:rPr>
              <w:t xml:space="preserve">Data Source</w:t>
            </w:r>
          </w:p>
          <w:p>
            <w:hyperlink w:history="true" r:id="Re87d187952b948fc">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Remoteness Areas 2016, Identifier ARIA16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state or territory of usual residence</w:t>
            </w:r>
          </w:p>
          <w:p>
            <w:r>
              <w:rPr>
                <w:rStyle w:val="row-content"/>
              </w:rPr>
              <w:t xml:space="preserve"> </w:t>
            </w:r>
          </w:p>
          <w:p>
            <w:r>
              <w:rPr>
                <w:rStyle w:val="row-content"/>
                <w:b/>
              </w:rPr>
              <w:t xml:space="preserve">Data Source</w:t>
            </w:r>
          </w:p>
          <w:p>
            <w:hyperlink w:history="true" r:id="R12522ef0e2574a83">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state or territory of usual residence 2016; Identifier STATE16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0e285f4767d40cf">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Age of person; Identifier AGECP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54df605e2614499">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Sex; Identifier SEXP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Person—socioeconomic status group</w:t>
            </w:r>
          </w:p>
          <w:p>
            <w:r>
              <w:rPr>
                <w:rStyle w:val="row-content"/>
              </w:rPr>
              <w:t xml:space="preserve"> </w:t>
            </w:r>
          </w:p>
          <w:p>
            <w:r>
              <w:rPr>
                <w:rStyle w:val="row-content"/>
                <w:b/>
              </w:rPr>
              <w:t xml:space="preserve">Data Source</w:t>
            </w:r>
          </w:p>
          <w:p>
            <w:hyperlink w:history="true" r:id="R6ba34adad3494212">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Index of relative socio-economic advantage/disadvantage – quintiles – Australia 2016; Identifier QADVD16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 exclusion of people in Very Remote areas (based on the Accessibility/Remoteness Index of Australia) has only a minor impact on any aggregate estimates that are produced because they constitute just a small proportion of the population.</w:t>
            </w:r>
          </w:p>
          <w:p>
            <w:pPr/>
            <w:r>
              <w:rPr>
                <w:rStyle w:val="row-content-rich-text"/>
              </w:rPr>
              <w:t xml:space="preserve">Those living in non-private dwellings, such as hotels, boarding schools, boarding houses, aged care facilities and institutions,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b12ee16ab54903">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low income does not include those in very remote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cf8db100954e0d">
              <w:r>
                <w:rPr>
                  <w:rStyle w:val="Hyperlink"/>
                </w:rPr>
                <w:t xml:space="preserve">Australian Institute of Health and Welfare</w:t>
              </w:r>
            </w:hyperlink>
          </w:p>
        </w:tc>
      </w:tr>
    </w:tbl>
    <w:p>
      <w:r>
        <w:br/>
      </w:r>
    </w:p>
    <w:sectPr>
      <w:footerReference xmlns:r="http://schemas.openxmlformats.org/officeDocument/2006/relationships" w:type="default" r:id="Rf1d4006cf898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aec295448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4006cf8984a89" /><Relationship Type="http://schemas.openxmlformats.org/officeDocument/2006/relationships/header" Target="/word/header1.xml" Id="R76ba3d1be58b4320" /><Relationship Type="http://schemas.openxmlformats.org/officeDocument/2006/relationships/settings" Target="/word/settings.xml" Id="Rde20d2ead18a4fa7" /><Relationship Type="http://schemas.openxmlformats.org/officeDocument/2006/relationships/styles" Target="/word/styles.xml" Id="R72e7229a68ca460e" /><Relationship Type="http://schemas.openxmlformats.org/officeDocument/2006/relationships/hyperlink" Target="https://meteor.aihw.gov.au/RegistrationAuthority/12" TargetMode="External" Id="R833652f5ac164173" /><Relationship Type="http://schemas.openxmlformats.org/officeDocument/2006/relationships/hyperlink" Target="https://meteor.aihw.gov.au/content/728283" TargetMode="External" Id="R1ec0b165772b42c9" /><Relationship Type="http://schemas.openxmlformats.org/officeDocument/2006/relationships/hyperlink" Target="https://meteor.aihw.gov.au/RegistrationAuthority/12" TargetMode="External" Id="R728de4c781c64107" /><Relationship Type="http://schemas.openxmlformats.org/officeDocument/2006/relationships/hyperlink" Target="https://meteor.aihw.gov.au/content/657468" TargetMode="External" Id="Rb398a0e679484dcc" /><Relationship Type="http://schemas.openxmlformats.org/officeDocument/2006/relationships/hyperlink" Target="https://meteor.aihw.gov.au/content/657468" TargetMode="External" Id="R5d300b3014754800" /><Relationship Type="http://schemas.openxmlformats.org/officeDocument/2006/relationships/numbering" Target="/word/numbering.xml" Id="R9918a03fef2949cc" /><Relationship Type="http://schemas.openxmlformats.org/officeDocument/2006/relationships/hyperlink" Target="https://meteor.aihw.gov.au/content/657468" TargetMode="External" Id="Re87d187952b948fc" /><Relationship Type="http://schemas.openxmlformats.org/officeDocument/2006/relationships/hyperlink" Target="https://meteor.aihw.gov.au/content/657468" TargetMode="External" Id="R12522ef0e2574a83" /><Relationship Type="http://schemas.openxmlformats.org/officeDocument/2006/relationships/hyperlink" Target="https://meteor.aihw.gov.au/content/657468" TargetMode="External" Id="R80e285f4767d40cf" /><Relationship Type="http://schemas.openxmlformats.org/officeDocument/2006/relationships/hyperlink" Target="https://meteor.aihw.gov.au/content/657468" TargetMode="External" Id="R754df605e2614499" /><Relationship Type="http://schemas.openxmlformats.org/officeDocument/2006/relationships/hyperlink" Target="https://meteor.aihw.gov.au/content/657468" TargetMode="External" Id="R6ba34adad3494212" /><Relationship Type="http://schemas.openxmlformats.org/officeDocument/2006/relationships/hyperlink" Target="https://meteor.aihw.gov.au/content/657468" TargetMode="External" Id="R17b12ee16ab54903" /><Relationship Type="http://schemas.openxmlformats.org/officeDocument/2006/relationships/hyperlink" Target="https://meteor.aihw.gov.au/content/246013" TargetMode="External" Id="R8bcf8db100954e0d" /></Relationships>
</file>

<file path=word/_rels/header1.xml.rels>&#65279;<?xml version="1.0" encoding="utf-8"?><Relationships xmlns="http://schemas.openxmlformats.org/package/2006/relationships"><Relationship Type="http://schemas.openxmlformats.org/officeDocument/2006/relationships/image" Target="/media/image.png" Id="R698aec2954484278" /></Relationships>
</file>