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324b0c6cd54a9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024b587694a61">
              <w:r>
                <w:rPr>
                  <w:rStyle w:val="Hyperlink"/>
                  <w:color w:val="244061"/>
                </w:rPr>
                <w:t xml:space="preserve">Health</w:t>
              </w:r>
            </w:hyperlink>
            <w:r>
              <w:rPr>
                <w:rStyle w:val="row-content"/>
                <w:color w:val="244061"/>
              </w:rPr>
              <w:t xml:space="preserve">, Standard 05/02/2021</w:t>
            </w:r>
          </w:p>
          <w:p>
            <w:pPr>
              <w:spacing w:before="0" w:after="0"/>
            </w:pPr>
            <w:hyperlink w:history="true" r:id="R049f922d46ab482b">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495fadb9f642e7">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a95b6572f84f0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7   Not applicable</w:t>
            </w:r>
          </w:p>
          <w:p>
            <w:pPr>
              <w:spacing w:after="160"/>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health-care provider' can vary depending on the context and/or collection in which the term is being applied.</w:t>
            </w:r>
          </w:p>
          <w:p>
            <w:pPr>
              <w:spacing w:after="160"/>
            </w:pP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 The health-care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dc4ae2e6cd4f2d">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c7f8d3d7408e475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ee1b33f22f04e91">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8730508b08e1492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2b9e0c8b6a438b">
              <w:r>
                <w:rPr>
                  <w:rStyle w:val="Hyperlink"/>
                </w:rPr>
                <w:t xml:space="preserve">Non-admitted patient care aggregate NBEDS 2021–22</w:t>
              </w:r>
            </w:hyperlink>
          </w:p>
          <w:p>
            <w:pPr>
              <w:spacing w:before="0" w:after="0"/>
            </w:pPr>
            <w:r>
              <w:rPr>
                <w:rStyle w:val="row-content"/>
                <w:color w:val="244061"/>
              </w:rPr>
              <w:t xml:space="preserve">       </w:t>
            </w:r>
            <w:hyperlink w:history="true" r:id="R096478b3b7be43f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57b50cd81ecb4f63">
              <w:r>
                <w:rPr>
                  <w:rStyle w:val="Hyperlink"/>
                </w:rPr>
                <w:t xml:space="preserve">Non-admitted patient care aggregate NBEDS 2022–23</w:t>
              </w:r>
            </w:hyperlink>
          </w:p>
          <w:p>
            <w:pPr>
              <w:spacing w:before="0" w:after="0"/>
            </w:pPr>
            <w:r>
              <w:rPr>
                <w:rStyle w:val="row-content"/>
                <w:color w:val="244061"/>
              </w:rPr>
              <w:t xml:space="preserve">       </w:t>
            </w:r>
            <w:hyperlink w:history="true" r:id="Re051c630b6d8402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34c982272bdc46c6">
              <w:r>
                <w:rPr>
                  <w:rStyle w:val="Hyperlink"/>
                </w:rPr>
                <w:t xml:space="preserve">Non-admitted patient care aggregate NBEDS 2023–24</w:t>
              </w:r>
            </w:hyperlink>
          </w:p>
          <w:p>
            <w:pPr>
              <w:spacing w:before="0" w:after="0"/>
            </w:pPr>
            <w:r>
              <w:rPr>
                <w:rStyle w:val="row-content"/>
                <w:color w:val="244061"/>
              </w:rPr>
              <w:t xml:space="preserve">       </w:t>
            </w:r>
            <w:hyperlink w:history="true" r:id="R34ef7d2f52ea47f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cb23cb61fe684777">
              <w:r>
                <w:rPr>
                  <w:rStyle w:val="Hyperlink"/>
                </w:rPr>
                <w:t xml:space="preserve">Non-admitted patient care aggregate NBEDS 2024–25</w:t>
              </w:r>
            </w:hyperlink>
          </w:p>
          <w:p>
            <w:pPr>
              <w:spacing w:before="0" w:after="0"/>
            </w:pPr>
            <w:r>
              <w:rPr>
                <w:rStyle w:val="row-content"/>
                <w:color w:val="244061"/>
              </w:rPr>
              <w:t xml:space="preserve">       </w:t>
            </w:r>
            <w:hyperlink w:history="true" r:id="Rf89cf5d2f8c047f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0461c4fb82cf4cc0">
              <w:r>
                <w:rPr>
                  <w:rStyle w:val="Hyperlink"/>
                </w:rPr>
                <w:t xml:space="preserve">Non-admitted patient NBEDS 2021–22</w:t>
              </w:r>
            </w:hyperlink>
          </w:p>
          <w:p>
            <w:pPr>
              <w:spacing w:before="0" w:after="0"/>
            </w:pPr>
            <w:r>
              <w:rPr>
                <w:rStyle w:val="row-content"/>
                <w:color w:val="244061"/>
              </w:rPr>
              <w:t xml:space="preserve">       </w:t>
            </w:r>
            <w:hyperlink w:history="true" r:id="R5681951b56e7464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954c3633de664585">
              <w:r>
                <w:rPr>
                  <w:rStyle w:val="Hyperlink"/>
                </w:rPr>
                <w:t xml:space="preserve">Non-admitted patient NBEDS 2022–23</w:t>
              </w:r>
            </w:hyperlink>
          </w:p>
          <w:p>
            <w:pPr>
              <w:spacing w:before="0" w:after="0"/>
            </w:pPr>
            <w:r>
              <w:rPr>
                <w:rStyle w:val="row-content"/>
                <w:color w:val="244061"/>
              </w:rPr>
              <w:t xml:space="preserve">       </w:t>
            </w:r>
            <w:hyperlink w:history="true" r:id="R58c83f51232f44c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7fa4cf9e08534f28">
              <w:r>
                <w:rPr>
                  <w:rStyle w:val="Hyperlink"/>
                </w:rPr>
                <w:t xml:space="preserve">Non-admitted patient NBEDS 2023–24</w:t>
              </w:r>
            </w:hyperlink>
          </w:p>
          <w:p>
            <w:pPr>
              <w:spacing w:before="0" w:after="0"/>
            </w:pPr>
            <w:r>
              <w:rPr>
                <w:rStyle w:val="row-content"/>
                <w:color w:val="244061"/>
              </w:rPr>
              <w:t xml:space="preserve">       </w:t>
            </w:r>
            <w:hyperlink w:history="true" r:id="R188f55caca714f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8ecb60c4eae44e1c">
              <w:r>
                <w:rPr>
                  <w:rStyle w:val="Hyperlink"/>
                </w:rPr>
                <w:t xml:space="preserve">Non-admitted patient NBEDS 2024–25</w:t>
              </w:r>
            </w:hyperlink>
          </w:p>
          <w:p>
            <w:pPr>
              <w:spacing w:before="0" w:after="0"/>
            </w:pPr>
            <w:r>
              <w:rPr>
                <w:rStyle w:val="row-content"/>
                <w:color w:val="244061"/>
              </w:rPr>
              <w:t xml:space="preserve">       </w:t>
            </w:r>
            <w:hyperlink w:history="true" r:id="Ra58be08b77264de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p>
        </w:tc>
      </w:tr>
    </w:tbl>
    <w:p/>
    <w:tbl>
      <w:tblPr>
        <w:tblStyle w:val="TableGrid"/>
        <w:tblW w:w="0" w:type="auto"/>
      </w:tblPr>
    </w:tbl>
    <w:p>
      <w:r>
        <w:br/>
      </w:r>
    </w:p>
    <w:sectPr>
      <w:footerReference xmlns:r="http://schemas.openxmlformats.org/officeDocument/2006/relationships" w:type="default" r:id="Reee65d46acdc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f1f6568e9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65d46acdc4088" /><Relationship Type="http://schemas.openxmlformats.org/officeDocument/2006/relationships/header" Target="/word/header1.xml" Id="Rdce9b3d431d74faf" /><Relationship Type="http://schemas.openxmlformats.org/officeDocument/2006/relationships/settings" Target="/word/settings.xml" Id="R5cea5f59d84e44e6" /><Relationship Type="http://schemas.openxmlformats.org/officeDocument/2006/relationships/styles" Target="/word/styles.xml" Id="R50feb5234df54491" /><Relationship Type="http://schemas.openxmlformats.org/officeDocument/2006/relationships/hyperlink" Target="https://meteor.aihw.gov.au/RegistrationAuthority/12" TargetMode="External" Id="R9ab024b587694a61" /><Relationship Type="http://schemas.openxmlformats.org/officeDocument/2006/relationships/hyperlink" Target="https://meteor.aihw.gov.au/RegistrationAuthority/15" TargetMode="External" Id="R049f922d46ab482b" /><Relationship Type="http://schemas.openxmlformats.org/officeDocument/2006/relationships/hyperlink" Target="https://meteor.aihw.gov.au/content/652537" TargetMode="External" Id="Rc8495fadb9f642e7" /><Relationship Type="http://schemas.openxmlformats.org/officeDocument/2006/relationships/hyperlink" Target="https://meteor.aihw.gov.au/content/464978" TargetMode="External" Id="Rd2a95b6572f84f0f" /><Relationship Type="http://schemas.openxmlformats.org/officeDocument/2006/relationships/numbering" Target="/word/numbering.xml" Id="Rc07f294372334745" /><Relationship Type="http://schemas.openxmlformats.org/officeDocument/2006/relationships/hyperlink" Target="https://meteor.aihw.gov.au/content/679876" TargetMode="External" Id="Racdc4ae2e6cd4f2d" /><Relationship Type="http://schemas.openxmlformats.org/officeDocument/2006/relationships/hyperlink" Target="https://meteor.aihw.gov.au/RegistrationAuthority/12" TargetMode="External" Id="Rc7f8d3d7408e4759" /><Relationship Type="http://schemas.openxmlformats.org/officeDocument/2006/relationships/hyperlink" Target="https://meteor.aihw.gov.au/content/663204" TargetMode="External" Id="R1ee1b33f22f04e91" /><Relationship Type="http://schemas.openxmlformats.org/officeDocument/2006/relationships/hyperlink" Target="https://meteor.aihw.gov.au/RegistrationAuthority/2" TargetMode="External" Id="R8730508b08e14922" /><Relationship Type="http://schemas.openxmlformats.org/officeDocument/2006/relationships/hyperlink" Target="https://meteor.aihw.gov.au/content/727333" TargetMode="External" Id="R1d2b9e0c8b6a438b" /><Relationship Type="http://schemas.openxmlformats.org/officeDocument/2006/relationships/hyperlink" Target="https://meteor.aihw.gov.au/RegistrationAuthority/12" TargetMode="External" Id="R096478b3b7be43fd" /><Relationship Type="http://schemas.openxmlformats.org/officeDocument/2006/relationships/hyperlink" Target="https://meteor.aihw.gov.au/content/742050" TargetMode="External" Id="R57b50cd81ecb4f63" /><Relationship Type="http://schemas.openxmlformats.org/officeDocument/2006/relationships/hyperlink" Target="https://meteor.aihw.gov.au/RegistrationAuthority/12" TargetMode="External" Id="Re051c630b6d8402c" /><Relationship Type="http://schemas.openxmlformats.org/officeDocument/2006/relationships/hyperlink" Target="https://meteor.aihw.gov.au/content/756107" TargetMode="External" Id="R34c982272bdc46c6" /><Relationship Type="http://schemas.openxmlformats.org/officeDocument/2006/relationships/hyperlink" Target="https://meteor.aihw.gov.au/RegistrationAuthority/12" TargetMode="External" Id="R34ef7d2f52ea47f0" /><Relationship Type="http://schemas.openxmlformats.org/officeDocument/2006/relationships/hyperlink" Target="https://meteor.aihw.gov.au/content/775698" TargetMode="External" Id="Rcb23cb61fe684777" /><Relationship Type="http://schemas.openxmlformats.org/officeDocument/2006/relationships/hyperlink" Target="https://meteor.aihw.gov.au/RegistrationAuthority/12" TargetMode="External" Id="Rf89cf5d2f8c047ff" /><Relationship Type="http://schemas.openxmlformats.org/officeDocument/2006/relationships/hyperlink" Target="https://meteor.aihw.gov.au/content/727331" TargetMode="External" Id="R0461c4fb82cf4cc0" /><Relationship Type="http://schemas.openxmlformats.org/officeDocument/2006/relationships/hyperlink" Target="https://meteor.aihw.gov.au/RegistrationAuthority/12" TargetMode="External" Id="R5681951b56e74640" /><Relationship Type="http://schemas.openxmlformats.org/officeDocument/2006/relationships/hyperlink" Target="https://meteor.aihw.gov.au/content/742186" TargetMode="External" Id="R954c3633de664585" /><Relationship Type="http://schemas.openxmlformats.org/officeDocument/2006/relationships/hyperlink" Target="https://meteor.aihw.gov.au/RegistrationAuthority/12" TargetMode="External" Id="R58c83f51232f44c4" /><Relationship Type="http://schemas.openxmlformats.org/officeDocument/2006/relationships/hyperlink" Target="https://meteor.aihw.gov.au/content/764455" TargetMode="External" Id="R7fa4cf9e08534f28" /><Relationship Type="http://schemas.openxmlformats.org/officeDocument/2006/relationships/hyperlink" Target="https://meteor.aihw.gov.au/RegistrationAuthority/12" TargetMode="External" Id="R188f55caca714f97" /><Relationship Type="http://schemas.openxmlformats.org/officeDocument/2006/relationships/hyperlink" Target="https://meteor.aihw.gov.au/content/775784" TargetMode="External" Id="R8ecb60c4eae44e1c" /><Relationship Type="http://schemas.openxmlformats.org/officeDocument/2006/relationships/hyperlink" Target="https://meteor.aihw.gov.au/RegistrationAuthority/12" TargetMode="External" Id="Ra58be08b77264dee" /></Relationships>
</file>

<file path=word/_rels/header1.xml.rels>&#65279;<?xml version="1.0" encoding="utf-8"?><Relationships xmlns="http://schemas.openxmlformats.org/package/2006/relationships"><Relationship Type="http://schemas.openxmlformats.org/officeDocument/2006/relationships/image" Target="/media/image.png" Id="R136f1f6568e946e6" /></Relationships>
</file>