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a98d3090b543b8"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e739ebef544d5">
              <w:r>
                <w:rPr>
                  <w:rStyle w:val="Hyperlink"/>
                  <w:color w:val="244061"/>
                </w:rPr>
                <w:t xml:space="preserve">AIHW Data Quality Statements</w:t>
              </w:r>
            </w:hyperlink>
            <w:r>
              <w:rPr>
                <w:rStyle w:val="row-content"/>
                <w:color w:val="244061"/>
              </w:rPr>
              <w:t xml:space="preserve">, Standard 30/01/2020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pStyle w:val="ListParagraph"/>
              <w:numPr>
                <w:ilvl w:val="0"/>
                <w:numId w:val="2"/>
              </w:numPr>
            </w:pPr>
            <w:r>
              <w:rPr>
                <w:rStyle w:val="row-content-rich-text"/>
              </w:rPr>
              <w:t xml:space="preserve">Hospital level data is reported, however changes to hospital-level rates of seclusion and restraint may reflect changes in the governance grouping of units or services reported under specific hospitals and/or changes in the number of seclusion and restraint events.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acute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is available from 2008–09 to 2018–19 and restraint data is available from 2015–16 to 2018–19. New seclusion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06fdd665a2043f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2d4348cf3ae84e96">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9109b9c907bf45c9">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39cd8c722c19494e">
              <w:r>
                <w:rPr>
                  <w:rStyle w:val="Hyperlink"/>
                </w:rPr>
                <w:t xml:space="preserve">Mental health establishments NMDS 2017-18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approximately three months after the reference period. Data are published approximately seven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at AIHW’s </w:t>
            </w:r>
            <w:r>
              <w:rPr>
                <w:rStyle w:val="row-content-rich-text"/>
                <w:i/>
              </w:rPr>
              <w:t xml:space="preserve">Mental health services in Australia </w:t>
            </w:r>
            <w:r>
              <w:rPr>
                <w:rStyle w:val="row-content-rich-text"/>
              </w:rPr>
              <w:t xml:space="preserve">website (</w:t>
            </w:r>
            <w:hyperlink w:history="true" r:id="Raeef95351c40477e">
              <w:r>
                <w:rPr>
                  <w:rStyle w:val="Hyperlink"/>
                </w:rPr>
                <w:t xml:space="preserve">https://www.aihw.gov.au/reports/mental-health-services/mental-health-services-in-australia/report-contents/restrictive-practices</w:t>
              </w:r>
            </w:hyperlink>
            <w:r>
              <w:rPr>
                <w:rStyle w:val="row-content-rich-text"/>
              </w:rPr>
              <w:t xml:space="preserve">).</w:t>
            </w:r>
          </w:p>
          <w:p>
            <w:pPr>
              <w:spacing w:after="160"/>
            </w:pPr>
            <w:r>
              <w:rPr>
                <w:rStyle w:val="row-content-rich-text"/>
              </w:rPr>
              <w:t xml:space="preserve">Additional disaggregation of the seclusion and restraint data are in this AIHW publication.</w:t>
            </w:r>
          </w:p>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dc4b343c32834714">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services in Australia</w:t>
            </w:r>
            <w:r>
              <w:rPr>
                <w:rStyle w:val="row-content-rich-text"/>
              </w:rPr>
              <w:t xml:space="preserve"> website (</w:t>
            </w:r>
            <w:hyperlink w:history="true" r:id="R2d7e765de1854e85">
              <w:r>
                <w:rPr>
                  <w:rStyle w:val="Hyperlink"/>
                </w:rPr>
                <w:t xml:space="preserve">https://www.aihw.gov.au/reports/mental-health-services/mental-health-services-in-australia/report-contents/restrictive-practices</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Restraint is defined as the restriction of an individual’s freedom of movement by physical or mechanical means. Data for two forms of restraint are specified by the Mental health seclusion and restraint National Best Endeavours Data Set (SECREST NBEDS): mechanical restraint (for example, using devices such as belts, or straps); and physical restraint (for example, the application by health care staff of hands-on immobilisation techniques). Unspecified restraint, that is, the type of restraint is unknown, has been removed as a restraint type from 2016–17 onwards. Data on physical restraint was reported by Queensland for the first time in 2017–18.</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spacing w:after="160"/>
            </w:pPr>
            <w:r>
              <w:rPr>
                <w:rStyle w:val="row-content-rich-text"/>
              </w:rPr>
              <w:t xml:space="preserve">A new data element, average time in seclusion was captured for the 2013–14 collection period and subsequent collections. Around 12% of all seclusion events from 2008–09 to 2013–14 occurred in Forensic services and these events were significantly longer in duration compared to seclusion events in other service types. Therefore, seclusion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2018–19 seclusion data was complete coverage based on acute beds admitted units reported to the Mental Health Establishments National Minimum Data Set in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Some services in NSW have closed or been declared out-of-scope during the 2017–18 and 2018–19 data supply cycle, and have therefore not been reported for those periods.</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For the 2015–16 collection period, patients were statistically discharged and re-admitted if their episode of care had begun in 2014–15 and had not been completed by 1 July 2015. This has added approximately 750 episodes to the number of episodes of care reported for the state. </w:t>
            </w:r>
          </w:p>
          <w:p>
            <w:pPr>
              <w:spacing w:after="160"/>
            </w:pPr>
            <w:r>
              <w:rPr>
                <w:rStyle w:val="row-content-rich-text"/>
              </w:rPr>
              <w:t xml:space="preserve">The Mental Health Act 2016 came into effect in March 2017. To support implementation of the Act, in 2016–17 historical seclusion data was moved to a new structure. A review of the data has been performed and corrections have been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 true variation in the use of physical restraint.</w:t>
            </w:r>
          </w:p>
          <w:p>
            <w:pPr>
              <w:spacing w:after="160"/>
            </w:pPr>
            <w:r>
              <w:rPr>
                <w:rStyle w:val="row-content-rich-text"/>
              </w:rPr>
              <w:t xml:space="preserve">Service units which opened mental health beds in 2017–18 have been included.</w:t>
            </w:r>
          </w:p>
          <w:p>
            <w:pPr>
              <w:spacing w:after="160"/>
            </w:pPr>
            <w:r>
              <w:rPr>
                <w:rStyle w:val="row-content-rich-text"/>
              </w:rPr>
              <w:t xml:space="preserve">In 2018–19, Queensland introduced a new methodology to their seclusion and restraint data collection. Historical data from 2014–15 onwards has been updated to align with this.</w:t>
            </w:r>
          </w:p>
          <w:p>
            <w:pPr>
              <w:spacing w:after="160"/>
            </w:pPr>
            <w:r>
              <w:rPr>
                <w:rStyle w:val="row-content-rich-text"/>
              </w:rPr>
              <w:t xml:space="preserve">Some changes to historical data may also have occurred as original data supply occurred before financial year submissions and data validation could be finalised.</w:t>
            </w:r>
          </w:p>
          <w:p>
            <w:pPr>
              <w:spacing w:after="160"/>
            </w:pPr>
            <w:r>
              <w:rPr>
                <w:rStyle w:val="row-content-rich-text"/>
                <w:b/>
              </w:rPr>
              <w:t xml:space="preserve">Western Australia</w:t>
            </w:r>
          </w:p>
          <w:p>
            <w:pPr>
              <w:spacing w:after="160"/>
            </w:pPr>
            <w:r>
              <w:rPr>
                <w:rStyle w:val="row-content-rich-text"/>
              </w:rPr>
              <w:t xml:space="preserve">In previous years, the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rPr>
              <w:t xml:space="preserve">In 2018–19 several services had a small number of patients with a high number of seclusion and restraint events which have affected the rates for the state. Some services in WA have closed or had no data available and so are not included in the 2018–19 reporting period.</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figures for SA are not included in national totals prior to 2018–19. SA provided seclusion duration data for the first time in 2018–19 and are included in the 2018–19 national total. It should be noted that approximately 74% of duration data for SA was able to be provided for 2018–19.</w:t>
            </w:r>
          </w:p>
          <w:p>
            <w:pPr>
              <w:spacing w:after="160"/>
            </w:pPr>
            <w:r>
              <w:rPr>
                <w:rStyle w:val="row-content-rich-text"/>
              </w:rPr>
              <w:t xml:space="preserve">A number of services have closed or transitioned to new services in 2017-18 and 2018–19, therefore comparisons between years should be made with caution, particularly when interpreting hospital level data.</w:t>
            </w:r>
          </w:p>
          <w:p>
            <w:pPr>
              <w:spacing w:after="160"/>
            </w:pPr>
            <w:r>
              <w:rPr>
                <w:rStyle w:val="row-content-rich-text"/>
              </w:rPr>
              <w:t xml:space="preserve">The number of episodes of care used to derive the proportion of mental-health related admitted care episodes that have a seclusion event and the average number of seclusion events per episode with seclusion are likely to be underestimated for SA.</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and restraint is inflated when reporting events per patient day compared with reporting on a population basis. Due to the low number of specialised mental health beds in NT, high rates of seclusion and restraint for a few individuals have a disproportionate effect on the rates of seclusion and restraint reported. NT seclusion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Increases in the seclusion and physical restraint rates for 2017–18 and 2018–19 are due to a small number of outliers impacting on the overall result for a small jurisdiction.</w:t>
            </w:r>
          </w:p>
          <w:p>
            <w:pPr>
              <w:spacing w:after="160"/>
            </w:pPr>
            <w:r>
              <w:rPr>
                <w:rStyle w:val="row-content-rich-text"/>
              </w:rPr>
              <w:t xml:space="preserve">In 2018–19 ACT changed the methodology for counting episodes and patient days to better align with definitions outlined in the SECREST NBEDS 2015–.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rPr>
              <w:t xml:space="preserve">The ACT provides acute inpatient Forensic services as of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General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f08d3208e944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682095af094915">
              <w:r>
                <w:rPr>
                  <w:rStyle w:val="Hyperlink"/>
                </w:rPr>
                <w:t xml:space="preserve">Mental health seclusion and restraint NBEDS 2015–: National seclusion and restraint database, 2020; Quality Statement</w:t>
              </w:r>
            </w:hyperlink>
          </w:p>
          <w:p>
            <w:pPr>
              <w:spacing w:before="0" w:after="0"/>
            </w:pPr>
            <w:r>
              <w:rPr>
                <w:rStyle w:val="row-content"/>
                <w:color w:val="244061"/>
              </w:rPr>
              <w:t xml:space="preserve">       </w:t>
            </w:r>
            <w:hyperlink w:history="true" r:id="R5acf8119c4144784">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See also </w:t>
            </w:r>
            <w:hyperlink w:history="true" r:id="R064967b2780242a5">
              <w:r>
                <w:rPr>
                  <w:rStyle w:val="Hyperlink"/>
                </w:rPr>
                <w:t xml:space="preserve">Mental health seclusion and restraint NBEDS 2015-</w:t>
              </w:r>
            </w:hyperlink>
          </w:p>
          <w:p>
            <w:pPr>
              <w:spacing w:before="0" w:after="0"/>
            </w:pPr>
            <w:r>
              <w:rPr>
                <w:rStyle w:val="row-content"/>
                <w:color w:val="244061"/>
              </w:rPr>
              <w:t xml:space="preserve">       </w:t>
            </w:r>
            <w:hyperlink w:history="true" r:id="R0750aee36f93483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12480c01b3f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725992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c826acf5d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2480c01b3f4ed3" /><Relationship Type="http://schemas.openxmlformats.org/officeDocument/2006/relationships/header" Target="/word/header1.xml" Id="R2ef86725b927433f" /><Relationship Type="http://schemas.openxmlformats.org/officeDocument/2006/relationships/settings" Target="/word/settings.xml" Id="Rcedd27d0b34b4465" /><Relationship Type="http://schemas.openxmlformats.org/officeDocument/2006/relationships/styles" Target="/word/styles.xml" Id="R1e5fed733c2b4c64" /><Relationship Type="http://schemas.openxmlformats.org/officeDocument/2006/relationships/hyperlink" Target="https://meteor.aihw.gov.au/RegistrationAuthority/5" TargetMode="External" Id="R340e739ebef544d5" /><Relationship Type="http://schemas.openxmlformats.org/officeDocument/2006/relationships/numbering" Target="/word/numbering.xml" Id="R938e1081af7f48c5" /><Relationship Type="http://schemas.openxmlformats.org/officeDocument/2006/relationships/hyperlink" Target="https://www.legislation.gov.au/Series/C2004A03450" TargetMode="External" Id="Rd06fdd665a2043f7" /><Relationship Type="http://schemas.openxmlformats.org/officeDocument/2006/relationships/hyperlink" Target="https://www.legislation.gov.au/Series/C2004A03712" TargetMode="External" Id="R2d4348cf3ae84e96" /><Relationship Type="http://schemas.openxmlformats.org/officeDocument/2006/relationships/hyperlink" Target="http://www.aihw.gov.au/" TargetMode="External" Id="R9109b9c907bf45c9" /><Relationship Type="http://schemas.openxmlformats.org/officeDocument/2006/relationships/hyperlink" Target="https://meteor.aihw.gov.au/content/645723" TargetMode="External" Id="R39cd8c722c19494e" /><Relationship Type="http://schemas.openxmlformats.org/officeDocument/2006/relationships/hyperlink" Target="https://www.aihw.gov.au/reports/mental-health-services/mental-health-services-in-australia/report-contents/restrictive-practices" TargetMode="External" Id="Raeef95351c40477e" /><Relationship Type="http://schemas.openxmlformats.org/officeDocument/2006/relationships/hyperlink" Target="https://www.aihw.gov.au/mhsa" TargetMode="External" Id="Rdc4b343c32834714" /><Relationship Type="http://schemas.openxmlformats.org/officeDocument/2006/relationships/hyperlink" Target="https://www.aihw.gov.au/reports/mental-health-services/mental-health-services-in-australia/report-contents/restrictive-practices" TargetMode="External" Id="R2d7e765de1854e85" /><Relationship Type="http://schemas.openxmlformats.org/officeDocument/2006/relationships/hyperlink" Target="https://meteor.aihw.gov.au/content/246013" TargetMode="External" Id="Rf2f08d3208e94437" /><Relationship Type="http://schemas.openxmlformats.org/officeDocument/2006/relationships/hyperlink" Target="https://meteor.aihw.gov.au/content/736818" TargetMode="External" Id="R5f682095af094915" /><Relationship Type="http://schemas.openxmlformats.org/officeDocument/2006/relationships/hyperlink" Target="https://meteor.aihw.gov.au/RegistrationAuthority/5" TargetMode="External" Id="R5acf8119c4144784" /><Relationship Type="http://schemas.openxmlformats.org/officeDocument/2006/relationships/hyperlink" Target="https://meteor.aihw.gov.au/content/558137" TargetMode="External" Id="R064967b2780242a5" /><Relationship Type="http://schemas.openxmlformats.org/officeDocument/2006/relationships/hyperlink" Target="https://meteor.aihw.gov.au/RegistrationAuthority/12" TargetMode="External" Id="R0750aee36f93483e" /></Relationships>
</file>

<file path=word/_rels/header1.xml.rels>&#65279;<?xml version="1.0" encoding="utf-8"?><Relationships xmlns="http://schemas.openxmlformats.org/package/2006/relationships"><Relationship Type="http://schemas.openxmlformats.org/officeDocument/2006/relationships/image" Target="/media/image.png" Id="Rc14c826acf5d4497" /></Relationships>
</file>