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fea89b2e4f4e7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30b–Elapsed time for aged care services: home care packages,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30b–Elapsed time for aged care services: home care packages,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30–Elapsed time for aged care services: home care packages,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725761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4b2b524fc74cad">
              <w:r>
                <w:rPr>
                  <w:rStyle w:val="Hyperlink"/>
                  <w:color w:val="244061"/>
                </w:rPr>
                <w:t xml:space="preserve">Health</w:t>
              </w:r>
            </w:hyperlink>
            <w:r>
              <w:rPr>
                <w:rStyle w:val="row-content"/>
                <w:color w:val="244061"/>
              </w:rPr>
              <w:t xml:space="preserve">, Standard 19/11/2020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Median and 90th percentile elapsed time in months between an Aged Care Assessment Team (ACAT) approval for home care and assignment of a home care package.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f91abd243f643fb">
              <w:r>
                <w:rPr>
                  <w:rStyle w:val="Hyperlink"/>
                </w:rPr>
                <w:t xml:space="preserve">National Healthcare Agreement (2021)</w:t>
              </w:r>
            </w:hyperlink>
          </w:p>
          <w:p>
            <w:pPr>
              <w:spacing w:before="0" w:after="0"/>
            </w:pPr>
            <w:r>
              <w:rPr>
                <w:rStyle w:val="row-content"/>
                <w:color w:val="244061"/>
              </w:rPr>
              <w:t xml:space="preserve">       </w:t>
            </w:r>
            <w:hyperlink w:history="true" r:id="Rac1c96a25f4848a4">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0d63e5ca1104708">
              <w:r>
                <w:rPr>
                  <w:rStyle w:val="Hyperlink"/>
                </w:rPr>
                <w:t xml:space="preserve">Aged Care</w:t>
              </w:r>
            </w:hyperlink>
          </w:p>
          <w:p>
            <w:pPr>
              <w:spacing w:before="0" w:after="0"/>
            </w:pPr>
            <w:r>
              <w:rPr>
                <w:rStyle w:val="row-content"/>
                <w:color w:val="244061"/>
              </w:rPr>
              <w:t xml:space="preserve">       </w:t>
            </w:r>
            <w:hyperlink w:history="true" r:id="R1bab248522c0497c">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Elapsed time for aged care services: home care packages is calculated by subtracting the date at which the home care package was assigned (offered) on the My Aged Care system from the date at which the ACAT delegated package was approved. Presented as months, whereby a month is taken as 30.5 days on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Elapsed time in months calculated separately for each home care package level and priority.</w:t>
            </w:r>
          </w:p>
          <w:p>
            <w:pPr/>
            <w:r>
              <w:rPr>
                <w:rStyle w:val="row-content-rich-text"/>
              </w:rPr>
              <w:t xml:space="preserve">Elapsed times have been measured at the 50th (median) and 90th percentile of the range for all elapsed time calculations during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months between ACAT approval and assignment of a home care package for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recipient—ACAT approval date</w:t>
            </w:r>
          </w:p>
          <w:p>
            <w:r>
              <w:rPr>
                <w:rStyle w:val="row-content"/>
              </w:rPr>
              <w:t xml:space="preserve"> </w:t>
            </w:r>
          </w:p>
          <w:p>
            <w:r>
              <w:rPr>
                <w:rStyle w:val="row-content"/>
                <w:b/>
              </w:rPr>
              <w:t xml:space="preserve">Data Source</w:t>
            </w:r>
          </w:p>
          <w:p>
            <w:hyperlink w:history="true" r:id="Redfdb0ea68ab4c22">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recipient—assigned package level 1, 2, 3 and 4</w:t>
            </w:r>
          </w:p>
          <w:p>
            <w:r>
              <w:rPr>
                <w:rStyle w:val="row-content"/>
              </w:rPr>
              <w:t xml:space="preserve"> </w:t>
            </w:r>
          </w:p>
          <w:p>
            <w:r>
              <w:rPr>
                <w:rStyle w:val="row-content"/>
                <w:b/>
              </w:rPr>
              <w:t xml:space="preserve">Data Source</w:t>
            </w:r>
          </w:p>
          <w:p>
            <w:hyperlink w:history="true" r:id="Rda046870597a40c2">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recipient—assigned package priority—high or medium</w:t>
            </w:r>
          </w:p>
          <w:p>
            <w:r>
              <w:rPr>
                <w:rStyle w:val="row-content"/>
              </w:rPr>
              <w:t xml:space="preserve"> </w:t>
            </w:r>
          </w:p>
          <w:p>
            <w:r>
              <w:rPr>
                <w:rStyle w:val="row-content"/>
                <w:b/>
              </w:rPr>
              <w:t xml:space="preserve">Data Source</w:t>
            </w:r>
          </w:p>
          <w:p>
            <w:hyperlink w:history="true" r:id="Rf9861a1dc17a46f4">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recipient—package assignment date</w:t>
            </w:r>
          </w:p>
          <w:p>
            <w:r>
              <w:rPr>
                <w:rStyle w:val="row-content"/>
              </w:rPr>
              <w:t xml:space="preserve"> </w:t>
            </w:r>
          </w:p>
          <w:p>
            <w:r>
              <w:rPr>
                <w:rStyle w:val="row-content"/>
                <w:b/>
              </w:rPr>
              <w:t xml:space="preserve">Data Source</w:t>
            </w:r>
          </w:p>
          <w:p>
            <w:hyperlink w:history="true" r:id="R3467bd0e8a624e7d">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2019–20—State and territory, by assigned package level and priority of service.</w:t>
            </w:r>
          </w:p>
          <w:p>
            <w:pPr>
              <w:spacing w:after="160"/>
            </w:pPr>
            <w:r>
              <w:rPr>
                <w:rStyle w:val="row-content-rich-text"/>
              </w:rPr>
              <w:t xml:space="preserve">Disaggregation by assigned package level is based on which of the four package levels the client was assigned to. The package levels are:</w:t>
            </w:r>
          </w:p>
          <w:p>
            <w:pPr>
              <w:pStyle w:val="ListParagraph"/>
              <w:numPr>
                <w:ilvl w:val="0"/>
                <w:numId w:val="2"/>
              </w:numPr>
            </w:pPr>
            <w:r>
              <w:rPr>
                <w:rStyle w:val="row-content-rich-text"/>
              </w:rPr>
              <w:t xml:space="preserve">Level 1: to support those with basic care needs</w:t>
            </w:r>
          </w:p>
          <w:p>
            <w:pPr>
              <w:pStyle w:val="ListParagraph"/>
              <w:numPr>
                <w:ilvl w:val="0"/>
                <w:numId w:val="2"/>
              </w:numPr>
            </w:pPr>
            <w:r>
              <w:rPr>
                <w:rStyle w:val="row-content-rich-text"/>
              </w:rPr>
              <w:t xml:space="preserve">Level 2: to support those with low-level care needs</w:t>
            </w:r>
          </w:p>
          <w:p>
            <w:pPr>
              <w:pStyle w:val="ListParagraph"/>
              <w:numPr>
                <w:ilvl w:val="0"/>
                <w:numId w:val="2"/>
              </w:numPr>
            </w:pPr>
            <w:r>
              <w:rPr>
                <w:rStyle w:val="row-content-rich-text"/>
              </w:rPr>
              <w:t xml:space="preserve">Level 3: to support those with intermediate care needs</w:t>
            </w:r>
          </w:p>
          <w:p>
            <w:pPr>
              <w:pStyle w:val="ListParagraph"/>
              <w:numPr>
                <w:ilvl w:val="0"/>
                <w:numId w:val="2"/>
              </w:numPr>
            </w:pPr>
            <w:r>
              <w:rPr>
                <w:rStyle w:val="row-content-rich-text"/>
              </w:rPr>
              <w:t xml:space="preserve">Level 4: to support those with high care needs.</w:t>
            </w:r>
          </w:p>
          <w:p>
            <w:pPr>
              <w:spacing w:after="160"/>
            </w:pPr>
            <w:r>
              <w:rPr>
                <w:rStyle w:val="row-content-rich-text"/>
              </w:rPr>
              <w:t xml:space="preserve">Disaggregation by state and territory is based on the location of the person assigned the home care package, according to the address entered in My Aged Care for that person.</w:t>
            </w:r>
          </w:p>
          <w:p>
            <w:pPr/>
            <w:r>
              <w:rPr>
                <w:rStyle w:val="row-content-rich-text"/>
              </w:rPr>
              <w:t xml:space="preserve">Disaggregation by priority of service is based on whether the package has been assigned to the high or medium part of the National Prioritisation System. A person's priority for service is determined at the time of their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recipient—assigned package level 1, 2, 3 and 4</w:t>
            </w:r>
          </w:p>
          <w:p>
            <w:r>
              <w:rPr>
                <w:rStyle w:val="row-content"/>
              </w:rPr>
              <w:t xml:space="preserve"> </w:t>
            </w:r>
          </w:p>
          <w:p>
            <w:r>
              <w:rPr>
                <w:rStyle w:val="row-content"/>
                <w:b/>
              </w:rPr>
              <w:t xml:space="preserve">Data Source</w:t>
            </w:r>
          </w:p>
          <w:p>
            <w:hyperlink w:history="true" r:id="R300c8119e5b449e7">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recipient—assigned package priority—high or medium</w:t>
            </w:r>
          </w:p>
          <w:p>
            <w:r>
              <w:rPr>
                <w:rStyle w:val="row-content"/>
              </w:rPr>
              <w:t xml:space="preserve"> </w:t>
            </w:r>
          </w:p>
          <w:p>
            <w:r>
              <w:rPr>
                <w:rStyle w:val="row-content"/>
                <w:b/>
              </w:rPr>
              <w:t xml:space="preserve">Data Source</w:t>
            </w:r>
          </w:p>
          <w:p>
            <w:hyperlink w:history="true" r:id="Rb6456ff450df4076">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recipient—geographical location of the place of residence of the person assigned the package</w:t>
            </w:r>
          </w:p>
          <w:p>
            <w:r>
              <w:rPr>
                <w:rStyle w:val="row-content"/>
              </w:rPr>
              <w:t xml:space="preserve"> </w:t>
            </w:r>
          </w:p>
          <w:p>
            <w:r>
              <w:rPr>
                <w:rStyle w:val="row-content"/>
                <w:b/>
              </w:rPr>
              <w:t xml:space="preserve">Data Source</w:t>
            </w:r>
          </w:p>
          <w:p>
            <w:hyperlink w:history="true" r:id="Rab746a156315463a">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Street address (or postcode where street address is not available)</w:t>
            </w:r>
            <w:r>
              <w:br/>
            </w:r>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2019–20.</w:t>
            </w:r>
          </w:p>
          <w:p>
            <w:pPr>
              <w:spacing w:after="160"/>
            </w:pPr>
            <w:r>
              <w:rPr>
                <w:rStyle w:val="row-content-rich-text"/>
              </w:rPr>
              <w:t xml:space="preserve">Notes:</w:t>
            </w:r>
          </w:p>
          <w:p>
            <w:pPr>
              <w:pStyle w:val="ListParagraph"/>
              <w:numPr>
                <w:ilvl w:val="0"/>
                <w:numId w:val="3"/>
              </w:numPr>
            </w:pPr>
            <w:r>
              <w:rPr>
                <w:rStyle w:val="row-content-rich-text"/>
              </w:rPr>
              <w:t xml:space="preserve">Package assignments for people not actively waiting in the National Prioritisation System (NPS) for the entire time between approval and assignment have been excluded from the published results as their inclusion would not lead to an accurate representation of elapsed times experienced.</w:t>
            </w:r>
          </w:p>
          <w:p>
            <w:pPr>
              <w:pStyle w:val="ListParagraph"/>
              <w:numPr>
                <w:ilvl w:val="0"/>
                <w:numId w:val="3"/>
              </w:numPr>
            </w:pPr>
            <w:r>
              <w:rPr>
                <w:rStyle w:val="row-content-rich-text"/>
              </w:rPr>
              <w:t xml:space="preserve">The emphasis is on package level assigned as opposed to approved level. As such, the figures don’t differentiate between whether the package being assigned was at a person’s approved level or not. For instance, the figures shown for level 2 refer to the time a person has waited to get their level 2, and can be for a person who has been approved for a level, 2, 3 or 4, dependent on their Minimum Package Threshold (MPT). (For example, a person with a level 4 approval, with their MPT set at level 2, will have their elapsed time accounted at their level 2, 3, and 4 package offers).</w:t>
            </w:r>
          </w:p>
          <w:p>
            <w:pPr>
              <w:pStyle w:val="ListParagraph"/>
              <w:numPr>
                <w:ilvl w:val="0"/>
                <w:numId w:val="3"/>
              </w:numPr>
            </w:pPr>
            <w:r>
              <w:rPr>
                <w:rStyle w:val="row-content-rich-text"/>
              </w:rPr>
              <w:t xml:space="preserve">Results reflect the number of package assignments made, not the number of people who were assigned a package, as a person may have been assigned multiple packages in one financial year.</w:t>
            </w:r>
          </w:p>
          <w:p>
            <w:pPr>
              <w:pStyle w:val="ListParagraph"/>
              <w:numPr>
                <w:ilvl w:val="0"/>
                <w:numId w:val="3"/>
              </w:numPr>
            </w:pPr>
            <w:r>
              <w:rPr>
                <w:rStyle w:val="row-content-rich-text"/>
              </w:rPr>
              <w:t xml:space="preserve">The ACAT approval date for a home care package represents the date an ACAT delegate has approved a person for home care. Note that the approval needs to be linked to the package assigned. For instance, a person may be approved for a home care package on multiple occasions. If a person is approved at a level and then reassessed at a later date and approved for a higher level, their wait time to when they were assigned their initial level would be measured from the earlier approval date.</w:t>
            </w:r>
          </w:p>
          <w:p>
            <w:pPr>
              <w:spacing w:after="160"/>
            </w:pPr>
            <w:r>
              <w:rPr>
                <w:rStyle w:val="row-content-rich-text"/>
              </w:rPr>
              <w:t xml:space="preserve">To access an Australian Government subsidised home care package, a person must undergo an Aged Care Assessment and be found eligible ('approved') for that care type. 'Approval' specifically is an administrative step in the assessment process, granted by a specified delegate in the assessment workforce and following a comprehensive, preferably face-to-face assessment of the person and their care needs.</w:t>
            </w:r>
          </w:p>
          <w:p>
            <w:pPr/>
            <w:r>
              <w:rPr>
                <w:rStyle w:val="row-content-rich-text"/>
              </w:rPr>
              <w:t xml:space="preserve">The assignment date represents the date that My Aged Care assigned (offered) the home care package. People are advised of their assignment via letter and their client portal in My Aged Care. Post-assignment, a person has up to 56 days in which to take up their assigned package. They can seek a 28 day extension at any stage within the 56 day period if they require more time to decide.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M[MM]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674a8f66000416c">
              <w:r>
                <w:rPr>
                  <w:rStyle w:val="Hyperlink"/>
                </w:rPr>
                <w:t xml:space="preserve">Australian Government Department of Health's Ageing and Aged Care data warehouse</w:t>
              </w:r>
            </w:hyperlink>
          </w:p>
          <w:p>
            <w:r>
              <w:rPr>
                <w:rStyle w:val="row-content"/>
                <w:b/>
              </w:rPr>
              <w:t xml:space="preserve">Frequency</w:t>
            </w:r>
          </w:p>
          <w:p>
            <w:r>
              <w:rPr>
                <w:rStyle w:val="row-content"/>
              </w:rPr>
              <w:t xml:space="preserve">Ongoing</w:t>
            </w:r>
          </w:p>
          <w:p>
            <w:r>
              <w:rPr>
                <w:rStyle w:val="row-content"/>
                <w:b/>
              </w:rPr>
              <w:t xml:space="preserve">Data custodian</w:t>
            </w:r>
          </w:p>
          <w:p>
            <w:r>
              <w:rPr>
                <w:rStyle w:val="row-content"/>
              </w:rPr>
              <w:t xml:space="preserve"> </w:t>
            </w:r>
          </w:p>
          <w:p>
            <w:r>
              <w:rPr>
                <w:rStyle w:val="row-content"/>
              </w:rPr>
              <w:t xml:space="preserve"> Australian Government 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Department of Health</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49e6b19aa34b58">
              <w:r>
                <w:rPr>
                  <w:rStyle w:val="Hyperlink"/>
                </w:rPr>
                <w:t xml:space="preserve">National Healthcare Agreement: PI 30–Elapsed time for aged care services, 2020</w:t>
              </w:r>
            </w:hyperlink>
          </w:p>
          <w:p>
            <w:pPr>
              <w:spacing w:before="0" w:after="0"/>
            </w:pPr>
            <w:r>
              <w:rPr>
                <w:rStyle w:val="row-content"/>
                <w:color w:val="244061"/>
              </w:rPr>
              <w:t xml:space="preserve">       </w:t>
            </w:r>
            <w:hyperlink w:history="true" r:id="R4c0e94d9e8db4353">
              <w:r>
                <w:rPr>
                  <w:rStyle w:val="Hyperlink"/>
                  <w:color w:val="244061"/>
                </w:rPr>
                <w:t xml:space="preserve">Health</w:t>
              </w:r>
            </w:hyperlink>
            <w:r>
              <w:rPr>
                <w:rStyle w:val="row-content"/>
                <w:color w:val="244061"/>
              </w:rPr>
              <w:t xml:space="preserve">, Standard 16/01/2020</w:t>
            </w:r>
          </w:p>
          <w:p>
            <w:r>
              <w:br/>
            </w:r>
            <w:r>
              <w:rPr>
                <w:rStyle w:val="row-content"/>
              </w:rPr>
              <w:t xml:space="preserve">Has been superseded by </w:t>
            </w:r>
            <w:hyperlink w:history="true" r:id="R0f7e5c2af7494077">
              <w:r>
                <w:rPr>
                  <w:rStyle w:val="Hyperlink"/>
                </w:rPr>
                <w:t xml:space="preserve">National Healthcare Agreement: PI 30b–Elapsed time for aged care services: Home Care Packages, 2022</w:t>
              </w:r>
            </w:hyperlink>
          </w:p>
          <w:p>
            <w:pPr>
              <w:spacing w:before="0" w:after="0"/>
            </w:pPr>
            <w:r>
              <w:rPr>
                <w:rStyle w:val="row-content"/>
                <w:color w:val="244061"/>
              </w:rPr>
              <w:t xml:space="preserve">       </w:t>
            </w:r>
            <w:hyperlink w:history="true" r:id="R0bff4e6026354357">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5d72803c175c4d3d">
              <w:r>
                <w:rPr>
                  <w:rStyle w:val="Hyperlink"/>
                </w:rPr>
                <w:t xml:space="preserve">National Healthcare Agreement: PI 30a–Elapsed time for aged care services: residential aged care, 2021</w:t>
              </w:r>
            </w:hyperlink>
          </w:p>
          <w:p>
            <w:pPr>
              <w:spacing w:before="0" w:after="0"/>
            </w:pPr>
            <w:r>
              <w:rPr>
                <w:rStyle w:val="row-content"/>
                <w:color w:val="244061"/>
              </w:rPr>
              <w:t xml:space="preserve">       </w:t>
            </w:r>
            <w:hyperlink w:history="true" r:id="R8850e5b5c6c04c20">
              <w:r>
                <w:rPr>
                  <w:rStyle w:val="Hyperlink"/>
                  <w:color w:val="244061"/>
                </w:rPr>
                <w:t xml:space="preserve">Health</w:t>
              </w:r>
            </w:hyperlink>
            <w:r>
              <w:rPr>
                <w:rStyle w:val="row-content"/>
                <w:color w:val="244061"/>
              </w:rPr>
              <w:t xml:space="preserve">, Standard 19/11/2020</w:t>
            </w:r>
          </w:p>
          <w:p>
            <w:r>
              <w:br/>
            </w:r>
          </w:p>
        </w:tc>
      </w:tr>
    </w:tbl>
    <w:p>
      <w:r>
        <w:br/>
      </w:r>
    </w:p>
    <w:sectPr>
      <w:footerReference xmlns:r="http://schemas.openxmlformats.org/officeDocument/2006/relationships" w:type="default" r:id="Rc2a254315e084d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725761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3a5e8e560041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a254315e084d68" /><Relationship Type="http://schemas.openxmlformats.org/officeDocument/2006/relationships/header" Target="/word/header1.xml" Id="Re2c1dd8f51224c0d" /><Relationship Type="http://schemas.openxmlformats.org/officeDocument/2006/relationships/settings" Target="/word/settings.xml" Id="Rdac822a1bce94675" /><Relationship Type="http://schemas.openxmlformats.org/officeDocument/2006/relationships/styles" Target="/word/styles.xml" Id="Rd68cab8a77c84e62" /><Relationship Type="http://schemas.openxmlformats.org/officeDocument/2006/relationships/hyperlink" Target="https://meteor.aihw.gov.au/RegistrationAuthority/12" TargetMode="External" Id="Re14b2b524fc74cad" /><Relationship Type="http://schemas.openxmlformats.org/officeDocument/2006/relationships/hyperlink" Target="https://meteor.aihw.gov.au/content/725844" TargetMode="External" Id="R2f91abd243f643fb" /><Relationship Type="http://schemas.openxmlformats.org/officeDocument/2006/relationships/hyperlink" Target="https://meteor.aihw.gov.au/RegistrationAuthority/12" TargetMode="External" Id="Rac1c96a25f4848a4" /><Relationship Type="http://schemas.openxmlformats.org/officeDocument/2006/relationships/hyperlink" Target="https://meteor.aihw.gov.au/content/393489" TargetMode="External" Id="Rc0d63e5ca1104708" /><Relationship Type="http://schemas.openxmlformats.org/officeDocument/2006/relationships/hyperlink" Target="https://meteor.aihw.gov.au/RegistrationAuthority/12" TargetMode="External" Id="R1bab248522c0497c" /><Relationship Type="http://schemas.openxmlformats.org/officeDocument/2006/relationships/hyperlink" Target="https://meteor.aihw.gov.au/content/644993" TargetMode="External" Id="Redfdb0ea68ab4c22" /><Relationship Type="http://schemas.openxmlformats.org/officeDocument/2006/relationships/hyperlink" Target="https://meteor.aihw.gov.au/content/644993" TargetMode="External" Id="Rda046870597a40c2" /><Relationship Type="http://schemas.openxmlformats.org/officeDocument/2006/relationships/hyperlink" Target="https://meteor.aihw.gov.au/content/644993" TargetMode="External" Id="Rf9861a1dc17a46f4" /><Relationship Type="http://schemas.openxmlformats.org/officeDocument/2006/relationships/hyperlink" Target="https://meteor.aihw.gov.au/content/644993" TargetMode="External" Id="R3467bd0e8a624e7d" /><Relationship Type="http://schemas.openxmlformats.org/officeDocument/2006/relationships/numbering" Target="/word/numbering.xml" Id="Re6902526b6f0402d" /><Relationship Type="http://schemas.openxmlformats.org/officeDocument/2006/relationships/hyperlink" Target="https://meteor.aihw.gov.au/content/644993" TargetMode="External" Id="R300c8119e5b449e7" /><Relationship Type="http://schemas.openxmlformats.org/officeDocument/2006/relationships/hyperlink" Target="https://meteor.aihw.gov.au/content/644993" TargetMode="External" Id="Rb6456ff450df4076" /><Relationship Type="http://schemas.openxmlformats.org/officeDocument/2006/relationships/hyperlink" Target="https://meteor.aihw.gov.au/content/644993" TargetMode="External" Id="Rab746a156315463a" /><Relationship Type="http://schemas.openxmlformats.org/officeDocument/2006/relationships/hyperlink" Target="https://meteor.aihw.gov.au/content/644993" TargetMode="External" Id="R2674a8f66000416c" /><Relationship Type="http://schemas.openxmlformats.org/officeDocument/2006/relationships/hyperlink" Target="https://meteor.aihw.gov.au/content/716857" TargetMode="External" Id="R5c49e6b19aa34b58" /><Relationship Type="http://schemas.openxmlformats.org/officeDocument/2006/relationships/hyperlink" Target="https://meteor.aihw.gov.au/RegistrationAuthority/12" TargetMode="External" Id="R4c0e94d9e8db4353" /><Relationship Type="http://schemas.openxmlformats.org/officeDocument/2006/relationships/hyperlink" Target="https://meteor.aihw.gov.au/content/740748" TargetMode="External" Id="R0f7e5c2af7494077" /><Relationship Type="http://schemas.openxmlformats.org/officeDocument/2006/relationships/hyperlink" Target="https://meteor.aihw.gov.au/RegistrationAuthority/12" TargetMode="External" Id="R0bff4e6026354357" /><Relationship Type="http://schemas.openxmlformats.org/officeDocument/2006/relationships/hyperlink" Target="https://meteor.aihw.gov.au/content/727524" TargetMode="External" Id="R5d72803c175c4d3d" /><Relationship Type="http://schemas.openxmlformats.org/officeDocument/2006/relationships/hyperlink" Target="https://meteor.aihw.gov.au/RegistrationAuthority/12" TargetMode="External" Id="R8850e5b5c6c04c20" /></Relationships>
</file>

<file path=word/_rels/header1.xml.rels>&#65279;<?xml version="1.0" encoding="utf-8"?><Relationships xmlns="http://schemas.openxmlformats.org/package/2006/relationships"><Relationship Type="http://schemas.openxmlformats.org/officeDocument/2006/relationships/image" Target="/media/image.png" Id="Raa3a5e8e5600417e" /></Relationships>
</file>