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72b853cb76451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32–Patient satisfaction/experience,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32–Patient satisfaction/experience,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32–Patient satisfaction/experience,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a3f5fff75240b9">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Nationally comparative information that indicates levels of patient satisfaction around key aspects of the care they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ff66877a9644783">
              <w:r>
                <w:rPr>
                  <w:rStyle w:val="Hyperlink"/>
                </w:rPr>
                <w:t xml:space="preserve">National Healthcare Agreement (2021)</w:t>
              </w:r>
            </w:hyperlink>
          </w:p>
          <w:p>
            <w:pPr>
              <w:spacing w:before="0" w:after="0"/>
            </w:pPr>
            <w:r>
              <w:rPr>
                <w:rStyle w:val="row-content"/>
                <w:color w:val="244061"/>
              </w:rPr>
              <w:t xml:space="preserve">       </w:t>
            </w:r>
            <w:hyperlink w:history="true" r:id="R63e5908988204818">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7f7f2e09ae7454d">
              <w:r>
                <w:rPr>
                  <w:rStyle w:val="Hyperlink"/>
                </w:rPr>
                <w:t xml:space="preserve">Patient Experience</w:t>
              </w:r>
            </w:hyperlink>
          </w:p>
          <w:p>
            <w:pPr>
              <w:spacing w:before="0" w:after="0"/>
            </w:pPr>
            <w:r>
              <w:rPr>
                <w:rStyle w:val="row-content"/>
                <w:color w:val="244061"/>
              </w:rPr>
              <w:t xml:space="preserve">       </w:t>
            </w:r>
            <w:hyperlink w:history="true" r:id="R6724d930b14d49eb">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and over.</w:t>
            </w:r>
          </w:p>
          <w:p>
            <w:pPr>
              <w:spacing w:after="160"/>
            </w:pPr>
            <w:r>
              <w:rPr>
                <w:rStyle w:val="row-content-rich-text"/>
              </w:rPr>
              <w:t xml:space="preserve">Analysis by remoteness and Socio-Economic Indexes for Areas (SEIFA) Index of Relative Socio-Economic Disadvantage (IRSD) is based on usual residence of the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of (a) to (i)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aged 15 and over who saw a general practitioner (GP) (for their own health) in the last 12 months who reported that they waited longer than felt acceptable to get an appointment.</w:t>
            </w:r>
          </w:p>
          <w:p>
            <w:pPr>
              <w:spacing w:after="160"/>
            </w:pPr>
            <w:r>
              <w:rPr>
                <w:rStyle w:val="row-content-rich-text"/>
              </w:rPr>
              <w:t xml:space="preserve">(b) Number of persons aged 15 and over who were referred to a medical specialist by a GP in the last 12 months who waited longer than they felt acceptable to get an appointment.</w:t>
            </w:r>
          </w:p>
          <w:p>
            <w:pPr>
              <w:spacing w:after="160"/>
            </w:pPr>
            <w:r>
              <w:rPr>
                <w:rStyle w:val="row-content-rich-text"/>
              </w:rPr>
              <w:t xml:space="preserve">(c) Number of persons aged 15 and over who saw a GP (for their own health) in the last 12 months who reported that the GP always or often: listened carefully; showed respect; and spent enough time with them (calculated separately for each category).</w:t>
            </w:r>
          </w:p>
          <w:p>
            <w:pPr>
              <w:spacing w:after="160"/>
            </w:pPr>
            <w:r>
              <w:rPr>
                <w:rStyle w:val="row-content-rich-text"/>
              </w:rPr>
              <w:t xml:space="preserve">(d) Number of persons aged 15 and over who saw a medical specialist in the last 12 months (for their own health) who reported the medical specialist always or often: listened carefully to them; showed respect; and spent enough time with them (calculated separately for each category).</w:t>
            </w:r>
          </w:p>
          <w:p>
            <w:pPr>
              <w:spacing w:after="160"/>
            </w:pPr>
            <w:r>
              <w:rPr>
                <w:rStyle w:val="row-content-rich-text"/>
              </w:rPr>
              <w:t xml:space="preserve">(e) Number of persons aged 15 and over who saw a dental professional (for their own health) in the last 12 months who reported that the dental professional always or often: listened carefully; showed respect; and spent enough time with them (calculated separately for each category).</w:t>
            </w:r>
          </w:p>
          <w:p>
            <w:pPr>
              <w:spacing w:after="160"/>
            </w:pPr>
            <w:r>
              <w:rPr>
                <w:rStyle w:val="row-content-rich-text"/>
              </w:rPr>
              <w:t xml:space="preserve">(f) Number of persons aged 15 and over who visited a hospital emergency department (for their own health) in the last 12 months who reported that the ED doctors or specialists always or often: listened carefully; showed respect; and spent enough time with them (calculated separately for each category).</w:t>
            </w:r>
          </w:p>
          <w:p>
            <w:pPr>
              <w:spacing w:after="160"/>
            </w:pPr>
            <w:r>
              <w:rPr>
                <w:rStyle w:val="row-content-rich-text"/>
              </w:rPr>
              <w:t xml:space="preserve">(g) Number of persons aged 15 and over who visited a hospital emergency department (for their own health) in the last 12 months who reported that the ED nurses always or often: listened carefully; showed respect; and spent enough time with them (calculated separately for each category).</w:t>
            </w:r>
          </w:p>
          <w:p>
            <w:pPr>
              <w:spacing w:after="160"/>
            </w:pPr>
            <w:r>
              <w:rPr>
                <w:rStyle w:val="row-content-rich-text"/>
              </w:rPr>
              <w:t xml:space="preserve">(h) Number of persons aged 15 and over who were admitted to hospital (for their own health) in the last 12 months who reported that the hospital doctors or specialists always or often: listened carefully; showed respect; and spent enough time with them (calculated separately for each category).</w:t>
            </w:r>
          </w:p>
          <w:p>
            <w:pPr/>
            <w:r>
              <w:rPr>
                <w:rStyle w:val="row-content-rich-text"/>
              </w:rPr>
              <w:t xml:space="preserve">(i) Number of persons aged 15 and over who were admitted to hospital (for their own health) in the last 12 months who reported that the hospital nurses always or often: listened carefully; showed respect; and spent enough time with them (calculated separately for each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Perception of waiting time for health service</w:t>
            </w:r>
          </w:p>
          <w:p>
            <w:r>
              <w:rPr>
                <w:rStyle w:val="row-content"/>
              </w:rPr>
              <w:t xml:space="preserve"> </w:t>
            </w:r>
          </w:p>
          <w:p>
            <w:r>
              <w:rPr>
                <w:rStyle w:val="row-content"/>
                <w:b/>
              </w:rPr>
              <w:t xml:space="preserve">Data Source</w:t>
            </w:r>
          </w:p>
          <w:p>
            <w:hyperlink w:history="true" r:id="R4970cbb50a11460c">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Perception of treatment provided by health professional</w:t>
            </w:r>
          </w:p>
          <w:p>
            <w:r>
              <w:rPr>
                <w:rStyle w:val="row-content"/>
              </w:rPr>
              <w:t xml:space="preserve"> </w:t>
            </w:r>
          </w:p>
          <w:p>
            <w:r>
              <w:rPr>
                <w:rStyle w:val="row-content"/>
                <w:b/>
              </w:rPr>
              <w:t xml:space="preserve">Data Source</w:t>
            </w:r>
          </w:p>
          <w:p>
            <w:hyperlink w:history="true" r:id="R4d28c7e467ac4ab3">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192e3834b27481a">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GP (for their own health) in the last twelve months</w:t>
            </w:r>
          </w:p>
          <w:p>
            <w:r>
              <w:rPr>
                <w:rStyle w:val="row-content"/>
              </w:rPr>
              <w:t xml:space="preserve"> </w:t>
            </w:r>
          </w:p>
          <w:p>
            <w:r>
              <w:rPr>
                <w:rStyle w:val="row-content"/>
                <w:b/>
              </w:rPr>
              <w:t xml:space="preserve">Data Source</w:t>
            </w:r>
          </w:p>
          <w:p>
            <w:hyperlink w:history="true" r:id="R3d25022c308b4f72">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Perception of treatment provided by health professional</w:t>
            </w:r>
          </w:p>
          <w:p>
            <w:r>
              <w:rPr>
                <w:rStyle w:val="row-content"/>
              </w:rPr>
              <w:t xml:space="preserve"> </w:t>
            </w:r>
          </w:p>
          <w:p>
            <w:r>
              <w:rPr>
                <w:rStyle w:val="row-content"/>
                <w:b/>
              </w:rPr>
              <w:t xml:space="preserve">Data Source</w:t>
            </w:r>
          </w:p>
          <w:p>
            <w:hyperlink w:history="true" r:id="R4ca7a8080de24fd4">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0fec2ee8c49414c">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admitted to hospital (for their own health) in the last twelve months</w:t>
            </w:r>
          </w:p>
          <w:p>
            <w:r>
              <w:rPr>
                <w:rStyle w:val="row-content"/>
              </w:rPr>
              <w:t xml:space="preserve"> </w:t>
            </w:r>
          </w:p>
          <w:p>
            <w:r>
              <w:rPr>
                <w:rStyle w:val="row-content"/>
                <w:b/>
              </w:rPr>
              <w:t xml:space="preserve">Data Source</w:t>
            </w:r>
          </w:p>
          <w:p>
            <w:hyperlink w:history="true" r:id="R867cf636deed43a7">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dental professional (for their own health) in the last 12 months</w:t>
            </w:r>
          </w:p>
          <w:p>
            <w:r>
              <w:rPr>
                <w:rStyle w:val="row-content"/>
              </w:rPr>
              <w:t xml:space="preserve"> </w:t>
            </w:r>
          </w:p>
          <w:p>
            <w:r>
              <w:rPr>
                <w:rStyle w:val="row-content"/>
                <w:b/>
              </w:rPr>
              <w:t xml:space="preserve">Data Source</w:t>
            </w:r>
          </w:p>
          <w:p>
            <w:hyperlink w:history="true" r:id="Ra6b9893ed3d6499b">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GP (for their own health) in the last twelve months</w:t>
            </w:r>
          </w:p>
          <w:p>
            <w:r>
              <w:rPr>
                <w:rStyle w:val="row-content"/>
              </w:rPr>
              <w:t xml:space="preserve"> </w:t>
            </w:r>
          </w:p>
          <w:p>
            <w:r>
              <w:rPr>
                <w:rStyle w:val="row-content"/>
                <w:b/>
              </w:rPr>
              <w:t xml:space="preserve">Data Source</w:t>
            </w:r>
          </w:p>
          <w:p>
            <w:hyperlink w:history="true" r:id="R6daa68a01aed4907">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medical specialist (for their own health) in the last twelve months</w:t>
            </w:r>
          </w:p>
          <w:p>
            <w:r>
              <w:rPr>
                <w:rStyle w:val="row-content"/>
              </w:rPr>
              <w:t xml:space="preserve"> </w:t>
            </w:r>
          </w:p>
          <w:p>
            <w:r>
              <w:rPr>
                <w:rStyle w:val="row-content"/>
                <w:b/>
              </w:rPr>
              <w:t xml:space="preserve">Data Source</w:t>
            </w:r>
          </w:p>
          <w:p>
            <w:hyperlink w:history="true" r:id="Rdece5e7f56224f21">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were referred to a medical specialist by a GP in the last 12 months</w:t>
            </w:r>
          </w:p>
          <w:p>
            <w:r>
              <w:rPr>
                <w:rStyle w:val="row-content"/>
              </w:rPr>
              <w:t xml:space="preserve"> </w:t>
            </w:r>
          </w:p>
          <w:p>
            <w:r>
              <w:rPr>
                <w:rStyle w:val="row-content"/>
                <w:b/>
              </w:rPr>
              <w:t xml:space="preserve">Data Source</w:t>
            </w:r>
          </w:p>
          <w:p>
            <w:hyperlink w:history="true" r:id="Ra94c40b353e14c3e">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visited a hospital emergency department (for their own health) in the last 12 months</w:t>
            </w:r>
          </w:p>
          <w:p>
            <w:r>
              <w:rPr>
                <w:rStyle w:val="row-content"/>
              </w:rPr>
              <w:t xml:space="preserve"> </w:t>
            </w:r>
          </w:p>
          <w:p>
            <w:r>
              <w:rPr>
                <w:rStyle w:val="row-content"/>
                <w:b/>
              </w:rPr>
              <w:t xml:space="preserve">Data Source</w:t>
            </w:r>
          </w:p>
          <w:p>
            <w:hyperlink w:history="true" r:id="Rd7087cf1c7d84f3b">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&amp; (c) Total number of persons aged 15 and over who saw a GP (for their own health) in the last 12 months.</w:t>
            </w:r>
          </w:p>
          <w:p>
            <w:pPr>
              <w:spacing w:after="160"/>
            </w:pPr>
            <w:r>
              <w:rPr>
                <w:rStyle w:val="row-content-rich-text"/>
              </w:rPr>
              <w:t xml:space="preserve">(b) Total number of persons aged 15 and over who were referred to a medical specialist by a GP in the last 12 months.</w:t>
            </w:r>
          </w:p>
          <w:p>
            <w:pPr>
              <w:spacing w:after="160"/>
            </w:pPr>
            <w:r>
              <w:rPr>
                <w:rStyle w:val="row-content-rich-text"/>
              </w:rPr>
              <w:t xml:space="preserve">(d) Total number of persons aged 15 and over who saw a medical specialist (for their own health) in the last 12 months.</w:t>
            </w:r>
          </w:p>
          <w:p>
            <w:pPr>
              <w:spacing w:after="160"/>
            </w:pPr>
            <w:r>
              <w:rPr>
                <w:rStyle w:val="row-content-rich-text"/>
              </w:rPr>
              <w:t xml:space="preserve">(e) Total number of persons aged 15 and over who saw a dental professional (for their own health) in the last 12 months.</w:t>
            </w:r>
          </w:p>
          <w:p>
            <w:pPr>
              <w:spacing w:after="160"/>
            </w:pPr>
            <w:r>
              <w:rPr>
                <w:rStyle w:val="row-content-rich-text"/>
              </w:rPr>
              <w:t xml:space="preserve">(f) &amp; (g) Total number of persons aged 15 and over who visited a hospital emergency department (for their own health) in the last 12 months.</w:t>
            </w:r>
          </w:p>
          <w:p>
            <w:pPr/>
            <w:r>
              <w:rPr>
                <w:rStyle w:val="row-content-rich-text"/>
              </w:rPr>
              <w:t xml:space="preserve">(h) &amp; (i) Total number of persons aged 15 and over who were admitted to hospital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38e417f3ad447a7">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dental professional (for their own health) in the last 12 months</w:t>
            </w:r>
          </w:p>
          <w:p>
            <w:r>
              <w:rPr>
                <w:rStyle w:val="row-content"/>
              </w:rPr>
              <w:t xml:space="preserve"> </w:t>
            </w:r>
          </w:p>
          <w:p>
            <w:r>
              <w:rPr>
                <w:rStyle w:val="row-content"/>
                <w:b/>
              </w:rPr>
              <w:t xml:space="preserve">Data Source</w:t>
            </w:r>
          </w:p>
          <w:p>
            <w:hyperlink w:history="true" r:id="R3509f33651c44cee">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GP (for their own health) in the last 12 months</w:t>
            </w:r>
          </w:p>
          <w:p>
            <w:r>
              <w:rPr>
                <w:rStyle w:val="row-content"/>
              </w:rPr>
              <w:t xml:space="preserve"> </w:t>
            </w:r>
          </w:p>
          <w:p>
            <w:r>
              <w:rPr>
                <w:rStyle w:val="row-content"/>
                <w:b/>
              </w:rPr>
              <w:t xml:space="preserve">Data Source</w:t>
            </w:r>
          </w:p>
          <w:p>
            <w:hyperlink w:history="true" r:id="R7ade256b84eb46b2">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medical specialist (for their own health) in the last twelve months</w:t>
            </w:r>
          </w:p>
          <w:p>
            <w:r>
              <w:rPr>
                <w:rStyle w:val="row-content"/>
              </w:rPr>
              <w:t xml:space="preserve"> </w:t>
            </w:r>
          </w:p>
          <w:p>
            <w:r>
              <w:rPr>
                <w:rStyle w:val="row-content"/>
                <w:b/>
              </w:rPr>
              <w:t xml:space="preserve">Data Source</w:t>
            </w:r>
          </w:p>
          <w:p>
            <w:hyperlink w:history="true" r:id="R3bab92220d8e4760">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were admitted to hospital (for their own health) in the last twelve months</w:t>
            </w:r>
          </w:p>
          <w:p>
            <w:r>
              <w:rPr>
                <w:rStyle w:val="row-content"/>
              </w:rPr>
              <w:t xml:space="preserve"> </w:t>
            </w:r>
          </w:p>
          <w:p>
            <w:r>
              <w:rPr>
                <w:rStyle w:val="row-content"/>
                <w:b/>
              </w:rPr>
              <w:t xml:space="preserve">Data Source</w:t>
            </w:r>
          </w:p>
          <w:p>
            <w:hyperlink w:history="true" r:id="R66dda403b43e4c3a">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were referred to a medical specialist by a GP in the last 12 months</w:t>
            </w:r>
          </w:p>
          <w:p>
            <w:r>
              <w:rPr>
                <w:rStyle w:val="row-content"/>
              </w:rPr>
              <w:t xml:space="preserve"> </w:t>
            </w:r>
          </w:p>
          <w:p>
            <w:r>
              <w:rPr>
                <w:rStyle w:val="row-content"/>
                <w:b/>
              </w:rPr>
              <w:t xml:space="preserve">Data Source</w:t>
            </w:r>
          </w:p>
          <w:p>
            <w:hyperlink w:history="true" r:id="Rd17c4cd2402a4928">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visited a hospital emergency department (for their own health) in the last 12 months</w:t>
            </w:r>
          </w:p>
          <w:p>
            <w:r>
              <w:rPr>
                <w:rStyle w:val="row-content"/>
              </w:rPr>
              <w:t xml:space="preserve"> </w:t>
            </w:r>
          </w:p>
          <w:p>
            <w:r>
              <w:rPr>
                <w:rStyle w:val="row-content"/>
                <w:b/>
              </w:rPr>
              <w:t xml:space="preserve">Data Source</w:t>
            </w:r>
          </w:p>
          <w:p>
            <w:hyperlink w:history="true" r:id="R64944bbaadb94697">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e00d975a9dff45e0">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GP (for their own health) in the last 12 months</w:t>
            </w:r>
          </w:p>
          <w:p>
            <w:r>
              <w:rPr>
                <w:rStyle w:val="row-content"/>
              </w:rPr>
              <w:t xml:space="preserve"> </w:t>
            </w:r>
          </w:p>
          <w:p>
            <w:r>
              <w:rPr>
                <w:rStyle w:val="row-content"/>
                <w:b/>
              </w:rPr>
              <w:t xml:space="preserve">Data Source</w:t>
            </w:r>
          </w:p>
          <w:p>
            <w:hyperlink w:history="true" r:id="Rcf511379229f4d78">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2019–20—State and territory by measures (a).</w:t>
            </w:r>
          </w:p>
          <w:p>
            <w:pPr>
              <w:spacing w:after="160"/>
            </w:pPr>
            <w:r>
              <w:rPr>
                <w:rStyle w:val="row-content-rich-text"/>
              </w:rPr>
              <w:t xml:space="preserve">2019–20—State and territory by measures (a), (c), (e), (f), (g), (h), (i), by:</w:t>
            </w:r>
          </w:p>
          <w:p>
            <w:pPr>
              <w:pStyle w:val="ListParagraph"/>
              <w:numPr>
                <w:ilvl w:val="0"/>
                <w:numId w:val="2"/>
              </w:numPr>
            </w:pPr>
            <w:r>
              <w:rPr>
                <w:rStyle w:val="row-content-rich-text"/>
              </w:rPr>
              <w:t xml:space="preserve">remoteness (Australian Statistical Geography Standard (ASGS) – Edition 2016 – Remoteness Area) (Major cities, other).</w:t>
            </w:r>
          </w:p>
          <w:p>
            <w:pPr>
              <w:spacing w:after="160"/>
            </w:pPr>
            <w:r>
              <w:rPr>
                <w:rStyle w:val="row-content-rich-text"/>
              </w:rPr>
              <w:t xml:space="preserve">2019–20—State and territory by measures (b), (d), by (not reported):</w:t>
            </w:r>
          </w:p>
          <w:p>
            <w:pPr>
              <w:pStyle w:val="ListParagraph"/>
              <w:numPr>
                <w:ilvl w:val="0"/>
                <w:numId w:val="3"/>
              </w:numPr>
            </w:pPr>
            <w:r>
              <w:rPr>
                <w:rStyle w:val="row-content-rich-text"/>
              </w:rPr>
              <w:t xml:space="preserve">remoteness (Australian Statistical Geography Standard (ASGS) – Edition 2016 – Remoteness Area) (Major cities, other).</w:t>
            </w:r>
          </w:p>
          <w:p>
            <w:pPr>
              <w:spacing w:after="160"/>
            </w:pPr>
            <w:r>
              <w:rPr>
                <w:rStyle w:val="row-content-rich-text"/>
              </w:rPr>
              <w:t xml:space="preserve">2019–20—Nationally, by measures (c), (e), by:</w:t>
            </w:r>
          </w:p>
          <w:p>
            <w:pPr>
              <w:pStyle w:val="ListParagraph"/>
              <w:numPr>
                <w:ilvl w:val="0"/>
                <w:numId w:val="4"/>
              </w:numPr>
            </w:pPr>
            <w:r>
              <w:rPr>
                <w:rStyle w:val="row-content-rich-text"/>
              </w:rPr>
              <w:t xml:space="preserve">remoteness (Australian Statistical Geography Standard (ASGS) – Edition 2016 – Remoteness Area) (Major cities, Inner regional, Outer regional, Remote/Very remote).</w:t>
            </w:r>
          </w:p>
          <w:p>
            <w:pPr>
              <w:spacing w:after="160"/>
            </w:pPr>
            <w:r>
              <w:rPr>
                <w:rStyle w:val="row-content-rich-text"/>
              </w:rPr>
              <w:t xml:space="preserve">2019–20—Nationally, by measures (a), (b), (d), (f), (g), (h), (i), by (not reported):</w:t>
            </w:r>
          </w:p>
          <w:p>
            <w:pPr>
              <w:pStyle w:val="ListParagraph"/>
              <w:numPr>
                <w:ilvl w:val="0"/>
                <w:numId w:val="5"/>
              </w:numPr>
            </w:pPr>
            <w:r>
              <w:rPr>
                <w:rStyle w:val="row-content-rich-text"/>
              </w:rPr>
              <w:t xml:space="preserve">remoteness ((Australian Statistical Geography Standard (ASGS) – Edition 2016 – Remoteness Area) (Major cities, Inner regional, Outer regional, Remote/Very remote).</w:t>
            </w:r>
          </w:p>
          <w:p>
            <w:pPr>
              <w:spacing w:after="160"/>
            </w:pPr>
            <w:r>
              <w:rPr>
                <w:rStyle w:val="row-content-rich-text"/>
              </w:rPr>
              <w:t xml:space="preserve">2019–20—Nationally, by measures (a) to (i), by (not reported):</w:t>
            </w:r>
          </w:p>
          <w:p>
            <w:pPr>
              <w:pStyle w:val="ListParagraph"/>
              <w:numPr>
                <w:ilvl w:val="0"/>
                <w:numId w:val="6"/>
              </w:numPr>
            </w:pPr>
            <w:r>
              <w:rPr>
                <w:rStyle w:val="row-content-rich-text"/>
              </w:rPr>
              <w:t xml:space="preserve">2016 Socio-Economic Indexes for Areas (SEIFA) Index of Relative Socioeconomic Disadvantage (IRSD) deciles.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d55f9a586ab34237">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2764511902fa4fba">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2019–20 (total population: PEx); 2018–19 (Indigenous: NATSIHS).</w:t>
            </w:r>
          </w:p>
          <w:p>
            <w:pPr>
              <w:spacing w:after="160"/>
            </w:pPr>
            <w:r>
              <w:rPr>
                <w:rStyle w:val="row-content-rich-text"/>
              </w:rPr>
              <w:t xml:space="preserve">Non-Indigenous data from PEx may not be directly comparable with data for Indigenous people from NATSIHS 2018–19.</w:t>
            </w:r>
          </w:p>
          <w:p>
            <w:pPr>
              <w:spacing w:after="160"/>
            </w:pPr>
            <w:r>
              <w:rPr>
                <w:rStyle w:val="row-content-rich-text"/>
              </w:rPr>
              <w:t xml:space="preserve">Some survey respondents may report pathology and imaging as a referral to a medical specialist.</w:t>
            </w:r>
          </w:p>
          <w:p>
            <w:pPr/>
            <w:r>
              <w:rPr>
                <w:rStyle w:val="row-content-rich-text"/>
              </w:rPr>
              <w:t xml:space="preserve">Information about dental practitioners is obtained by asking survey respondents about services received from a dental professional. Examples of dental professionals given to survey respondents in the questionnaire are dentists, dental hygienists and dental specialists. The intention is that survey respondents should provide information about all dental professionals, which may additionally include such practitioners as dental therapists, oral health therapists, and dental prosthetists, as well as specialists such as orthodontists, periodontists and endodontists.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7122535303a4b05">
              <w:r>
                <w:rPr>
                  <w:rStyle w:val="Hyperlink"/>
                </w:rPr>
                <w:t xml:space="preserve">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f4f3e63dd4e4e65">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14d917fcf0e4832">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00bcfec14b41fe">
              <w:r>
                <w:rPr>
                  <w:rStyle w:val="Hyperlink"/>
                </w:rPr>
                <w:t xml:space="preserve">National Healthcare Agreement: PI 32–Patient satisfaction/experience, 2020</w:t>
              </w:r>
            </w:hyperlink>
          </w:p>
          <w:p>
            <w:pPr>
              <w:spacing w:before="0" w:after="0"/>
            </w:pPr>
            <w:r>
              <w:rPr>
                <w:rStyle w:val="row-content"/>
                <w:color w:val="244061"/>
              </w:rPr>
              <w:t xml:space="preserve">       </w:t>
            </w:r>
            <w:hyperlink w:history="true" r:id="Rf4cb6b5148654e57">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48c50f0d9dd842d9">
              <w:r>
                <w:rPr>
                  <w:rStyle w:val="Hyperlink"/>
                </w:rPr>
                <w:t xml:space="preserve">National Healthcare Agreement: PI 32–Patient satisfaction/experience, 2022</w:t>
              </w:r>
            </w:hyperlink>
          </w:p>
          <w:p>
            <w:pPr>
              <w:spacing w:before="0" w:after="0"/>
            </w:pPr>
            <w:r>
              <w:rPr>
                <w:rStyle w:val="row-content"/>
                <w:color w:val="244061"/>
              </w:rPr>
              <w:t xml:space="preserve">       </w:t>
            </w:r>
            <w:hyperlink w:history="true" r:id="Rc2d183bfc92f4267">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9d5f589a5fe54892">
              <w:r>
                <w:rPr>
                  <w:rStyle w:val="Hyperlink"/>
                </w:rPr>
                <w:t xml:space="preserve">National Healthcare Agreement: PI 12–Waiting times for GPs, 2021</w:t>
              </w:r>
            </w:hyperlink>
          </w:p>
          <w:p>
            <w:pPr>
              <w:spacing w:before="0" w:after="0"/>
            </w:pPr>
            <w:r>
              <w:rPr>
                <w:rStyle w:val="row-content"/>
                <w:color w:val="244061"/>
              </w:rPr>
              <w:t xml:space="preserve">       </w:t>
            </w:r>
            <w:hyperlink w:history="true" r:id="Ra4ca17d883634767">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8c85ad08b1594a1d">
              <w:r>
                <w:rPr>
                  <w:rStyle w:val="Hyperlink"/>
                </w:rPr>
                <w:t xml:space="preserve">National Healthcare Agreement: PI 14–People deferring access to selected healthcare due to financial barriers, 2021</w:t>
              </w:r>
            </w:hyperlink>
          </w:p>
          <w:p>
            <w:pPr>
              <w:spacing w:before="0" w:after="0"/>
            </w:pPr>
            <w:r>
              <w:rPr>
                <w:rStyle w:val="row-content"/>
                <w:color w:val="244061"/>
              </w:rPr>
              <w:t xml:space="preserve">       </w:t>
            </w:r>
            <w:hyperlink w:history="true" r:id="Rc64446307f3e4dc3">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8f90cb1a61a940d6">
              <w:r>
                <w:rPr>
                  <w:rStyle w:val="Hyperlink"/>
                </w:rPr>
                <w:t xml:space="preserve">National Healthcare Agreement: PI 20a–Waiting times for elective surgery: waiting times in days, 2021</w:t>
              </w:r>
            </w:hyperlink>
          </w:p>
          <w:p>
            <w:pPr>
              <w:spacing w:before="0" w:after="0"/>
            </w:pPr>
            <w:r>
              <w:rPr>
                <w:rStyle w:val="row-content"/>
                <w:color w:val="244061"/>
              </w:rPr>
              <w:t xml:space="preserve">       </w:t>
            </w:r>
            <w:hyperlink w:history="true" r:id="R3d1c9e2af939423f">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74d03938027049a4">
              <w:r>
                <w:rPr>
                  <w:rStyle w:val="Hyperlink"/>
                </w:rPr>
                <w:t xml:space="preserve">National Healthcare Agreement: PI 20b–Waiting times for elective surgery: proportion seen on time, 2021</w:t>
              </w:r>
            </w:hyperlink>
          </w:p>
          <w:p>
            <w:pPr>
              <w:spacing w:before="0" w:after="0"/>
            </w:pPr>
            <w:r>
              <w:rPr>
                <w:rStyle w:val="row-content"/>
                <w:color w:val="244061"/>
              </w:rPr>
              <w:t xml:space="preserve">       </w:t>
            </w:r>
            <w:hyperlink w:history="true" r:id="Red1bf395ea8c4313">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1ee299a4e2a045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725757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c8c3ae0fca4f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e299a4e2a045fe" /><Relationship Type="http://schemas.openxmlformats.org/officeDocument/2006/relationships/header" Target="/word/header1.xml" Id="R75286b6153d84f7a" /><Relationship Type="http://schemas.openxmlformats.org/officeDocument/2006/relationships/settings" Target="/word/settings.xml" Id="Rc6067129e58a43a3" /><Relationship Type="http://schemas.openxmlformats.org/officeDocument/2006/relationships/styles" Target="/word/styles.xml" Id="R90c498aecf0c4025" /><Relationship Type="http://schemas.openxmlformats.org/officeDocument/2006/relationships/hyperlink" Target="https://meteor.aihw.gov.au/RegistrationAuthority/12" TargetMode="External" Id="Rc6a3f5fff75240b9" /><Relationship Type="http://schemas.openxmlformats.org/officeDocument/2006/relationships/hyperlink" Target="https://meteor.aihw.gov.au/content/725844" TargetMode="External" Id="Raff66877a9644783" /><Relationship Type="http://schemas.openxmlformats.org/officeDocument/2006/relationships/hyperlink" Target="https://meteor.aihw.gov.au/RegistrationAuthority/12" TargetMode="External" Id="R63e5908988204818" /><Relationship Type="http://schemas.openxmlformats.org/officeDocument/2006/relationships/hyperlink" Target="https://meteor.aihw.gov.au/content/393491" TargetMode="External" Id="R97f7f2e09ae7454d" /><Relationship Type="http://schemas.openxmlformats.org/officeDocument/2006/relationships/hyperlink" Target="https://meteor.aihw.gov.au/RegistrationAuthority/12" TargetMode="External" Id="R6724d930b14d49eb" /><Relationship Type="http://schemas.openxmlformats.org/officeDocument/2006/relationships/hyperlink" Target="https://meteor.aihw.gov.au/content/394410" TargetMode="External" Id="R4970cbb50a11460c" /><Relationship Type="http://schemas.openxmlformats.org/officeDocument/2006/relationships/hyperlink" Target="https://meteor.aihw.gov.au/content/719848" TargetMode="External" Id="R4d28c7e467ac4ab3" /><Relationship Type="http://schemas.openxmlformats.org/officeDocument/2006/relationships/hyperlink" Target="https://meteor.aihw.gov.au/content/719848" TargetMode="External" Id="R0192e3834b27481a" /><Relationship Type="http://schemas.openxmlformats.org/officeDocument/2006/relationships/hyperlink" Target="https://meteor.aihw.gov.au/content/719848" TargetMode="External" Id="R3d25022c308b4f72" /><Relationship Type="http://schemas.openxmlformats.org/officeDocument/2006/relationships/hyperlink" Target="https://meteor.aihw.gov.au/content/394410" TargetMode="External" Id="R4ca7a8080de24fd4" /><Relationship Type="http://schemas.openxmlformats.org/officeDocument/2006/relationships/hyperlink" Target="https://meteor.aihw.gov.au/content/394410" TargetMode="External" Id="R10fec2ee8c49414c" /><Relationship Type="http://schemas.openxmlformats.org/officeDocument/2006/relationships/hyperlink" Target="https://meteor.aihw.gov.au/content/394410" TargetMode="External" Id="R867cf636deed43a7" /><Relationship Type="http://schemas.openxmlformats.org/officeDocument/2006/relationships/hyperlink" Target="https://meteor.aihw.gov.au/content/394410" TargetMode="External" Id="Ra6b9893ed3d6499b" /><Relationship Type="http://schemas.openxmlformats.org/officeDocument/2006/relationships/hyperlink" Target="https://meteor.aihw.gov.au/content/394410" TargetMode="External" Id="R6daa68a01aed4907" /><Relationship Type="http://schemas.openxmlformats.org/officeDocument/2006/relationships/hyperlink" Target="https://meteor.aihw.gov.au/content/394410" TargetMode="External" Id="Rdece5e7f56224f21" /><Relationship Type="http://schemas.openxmlformats.org/officeDocument/2006/relationships/hyperlink" Target="https://meteor.aihw.gov.au/content/394410" TargetMode="External" Id="Ra94c40b353e14c3e" /><Relationship Type="http://schemas.openxmlformats.org/officeDocument/2006/relationships/hyperlink" Target="https://meteor.aihw.gov.au/content/394410" TargetMode="External" Id="Rd7087cf1c7d84f3b" /><Relationship Type="http://schemas.openxmlformats.org/officeDocument/2006/relationships/hyperlink" Target="https://meteor.aihw.gov.au/content/394410" TargetMode="External" Id="R038e417f3ad447a7" /><Relationship Type="http://schemas.openxmlformats.org/officeDocument/2006/relationships/hyperlink" Target="https://meteor.aihw.gov.au/content/394410" TargetMode="External" Id="R3509f33651c44cee" /><Relationship Type="http://schemas.openxmlformats.org/officeDocument/2006/relationships/hyperlink" Target="https://meteor.aihw.gov.au/content/394410" TargetMode="External" Id="R7ade256b84eb46b2" /><Relationship Type="http://schemas.openxmlformats.org/officeDocument/2006/relationships/hyperlink" Target="https://meteor.aihw.gov.au/content/394410" TargetMode="External" Id="R3bab92220d8e4760" /><Relationship Type="http://schemas.openxmlformats.org/officeDocument/2006/relationships/hyperlink" Target="https://meteor.aihw.gov.au/content/394410" TargetMode="External" Id="R66dda403b43e4c3a" /><Relationship Type="http://schemas.openxmlformats.org/officeDocument/2006/relationships/hyperlink" Target="https://meteor.aihw.gov.au/content/394410" TargetMode="External" Id="Rd17c4cd2402a4928" /><Relationship Type="http://schemas.openxmlformats.org/officeDocument/2006/relationships/hyperlink" Target="https://meteor.aihw.gov.au/content/394410" TargetMode="External" Id="R64944bbaadb94697" /><Relationship Type="http://schemas.openxmlformats.org/officeDocument/2006/relationships/hyperlink" Target="https://meteor.aihw.gov.au/content/719848" TargetMode="External" Id="Re00d975a9dff45e0" /><Relationship Type="http://schemas.openxmlformats.org/officeDocument/2006/relationships/hyperlink" Target="https://meteor.aihw.gov.au/content/719848" TargetMode="External" Id="Rcf511379229f4d78" /><Relationship Type="http://schemas.openxmlformats.org/officeDocument/2006/relationships/numbering" Target="/word/numbering.xml" Id="R9b43237d3f9849b4" /><Relationship Type="http://schemas.openxmlformats.org/officeDocument/2006/relationships/hyperlink" Target="https://meteor.aihw.gov.au/content/394410" TargetMode="External" Id="Rd55f9a586ab34237" /><Relationship Type="http://schemas.openxmlformats.org/officeDocument/2006/relationships/hyperlink" Target="https://meteor.aihw.gov.au/content/719848" TargetMode="External" Id="R2764511902fa4fba" /><Relationship Type="http://schemas.openxmlformats.org/officeDocument/2006/relationships/hyperlink" Target="https://meteor.aihw.gov.au/content/392585" TargetMode="External" Id="R57122535303a4b05" /><Relationship Type="http://schemas.openxmlformats.org/officeDocument/2006/relationships/hyperlink" Target="https://meteor.aihw.gov.au/content/394410" TargetMode="External" Id="Rdf4f3e63dd4e4e65" /><Relationship Type="http://schemas.openxmlformats.org/officeDocument/2006/relationships/hyperlink" Target="https://meteor.aihw.gov.au/content/719848" TargetMode="External" Id="Rb14d917fcf0e4832" /><Relationship Type="http://schemas.openxmlformats.org/officeDocument/2006/relationships/hyperlink" Target="https://meteor.aihw.gov.au/content/716864" TargetMode="External" Id="R1900bcfec14b41fe" /><Relationship Type="http://schemas.openxmlformats.org/officeDocument/2006/relationships/hyperlink" Target="https://meteor.aihw.gov.au/RegistrationAuthority/12" TargetMode="External" Id="Rf4cb6b5148654e57" /><Relationship Type="http://schemas.openxmlformats.org/officeDocument/2006/relationships/hyperlink" Target="https://meteor.aihw.gov.au/content/740744" TargetMode="External" Id="R48c50f0d9dd842d9" /><Relationship Type="http://schemas.openxmlformats.org/officeDocument/2006/relationships/hyperlink" Target="https://meteor.aihw.gov.au/RegistrationAuthority/12" TargetMode="External" Id="Rc2d183bfc92f4267" /><Relationship Type="http://schemas.openxmlformats.org/officeDocument/2006/relationships/hyperlink" Target="https://meteor.aihw.gov.au/content/725805" TargetMode="External" Id="R9d5f589a5fe54892" /><Relationship Type="http://schemas.openxmlformats.org/officeDocument/2006/relationships/hyperlink" Target="https://meteor.aihw.gov.au/RegistrationAuthority/12" TargetMode="External" Id="Ra4ca17d883634767" /><Relationship Type="http://schemas.openxmlformats.org/officeDocument/2006/relationships/hyperlink" Target="https://meteor.aihw.gov.au/content/725801" TargetMode="External" Id="R8c85ad08b1594a1d" /><Relationship Type="http://schemas.openxmlformats.org/officeDocument/2006/relationships/hyperlink" Target="https://meteor.aihw.gov.au/RegistrationAuthority/12" TargetMode="External" Id="Rc64446307f3e4dc3" /><Relationship Type="http://schemas.openxmlformats.org/officeDocument/2006/relationships/hyperlink" Target="https://meteor.aihw.gov.au/content/725789" TargetMode="External" Id="R8f90cb1a61a940d6" /><Relationship Type="http://schemas.openxmlformats.org/officeDocument/2006/relationships/hyperlink" Target="https://meteor.aihw.gov.au/RegistrationAuthority/12" TargetMode="External" Id="R3d1c9e2af939423f" /><Relationship Type="http://schemas.openxmlformats.org/officeDocument/2006/relationships/hyperlink" Target="https://meteor.aihw.gov.au/content/725787" TargetMode="External" Id="R74d03938027049a4" /><Relationship Type="http://schemas.openxmlformats.org/officeDocument/2006/relationships/hyperlink" Target="https://meteor.aihw.gov.au/RegistrationAuthority/12" TargetMode="External" Id="Red1bf395ea8c4313" /></Relationships>
</file>

<file path=word/_rels/header1.xml.rels>&#65279;<?xml version="1.0" encoding="utf-8"?><Relationships xmlns="http://schemas.openxmlformats.org/package/2006/relationships"><Relationship Type="http://schemas.openxmlformats.org/officeDocument/2006/relationships/image" Target="/media/image.png" Id="R70c8c3ae0fca4f6b" /></Relationships>
</file>