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85b8f4b7dba493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33–Full time equivalent employed health practitioners per 1,000 population (by age group), 2021</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33–Full time equivalent employed health practitioners per 1,000 population (by age group),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33–Full time equivalent health workforce,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725755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11e1fdbaa54abb">
              <w:r>
                <w:rPr>
                  <w:rStyle w:val="Hyperlink"/>
                  <w:color w:val="244061"/>
                </w:rPr>
                <w:t xml:space="preserve">Health</w:t>
              </w:r>
            </w:hyperlink>
            <w:r>
              <w:rPr>
                <w:rStyle w:val="row-content"/>
                <w:color w:val="244061"/>
              </w:rPr>
              <w:t xml:space="preserve">, Standard 16/09/2020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Full-time equivalent (FTE) employed health practitioners per 100,000 population (for the registered professions of medical practitioners, nurses/midwives, dentists, allied dental practitioners and allied health practitioners).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0cc1dbbd1c04c85">
              <w:r>
                <w:rPr>
                  <w:rStyle w:val="Hyperlink"/>
                </w:rPr>
                <w:t xml:space="preserve">National Healthcare Agreement (2021)</w:t>
              </w:r>
            </w:hyperlink>
          </w:p>
          <w:p>
            <w:pPr>
              <w:spacing w:before="0" w:after="0"/>
            </w:pPr>
            <w:r>
              <w:rPr>
                <w:rStyle w:val="row-content"/>
                <w:color w:val="244061"/>
              </w:rPr>
              <w:t xml:space="preserve">       </w:t>
            </w:r>
            <w:hyperlink w:history="true" r:id="Rcae7d424104a4cc7">
              <w:r>
                <w:rPr>
                  <w:rStyle w:val="Hyperlink"/>
                  <w:color w:val="244061"/>
                </w:rPr>
                <w:t xml:space="preserve">Health</w:t>
              </w:r>
            </w:hyperlink>
            <w:r>
              <w:rPr>
                <w:rStyle w:val="row-content"/>
                <w:color w:val="244061"/>
              </w:rPr>
              <w:t xml:space="preserve">, Standard 19/11/2020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6170eab0e844bbd">
              <w:r>
                <w:rPr>
                  <w:rStyle w:val="Hyperlink"/>
                </w:rPr>
                <w:t xml:space="preserve">Sustainability</w:t>
              </w:r>
            </w:hyperlink>
          </w:p>
          <w:p>
            <w:pPr>
              <w:spacing w:before="0" w:after="0"/>
            </w:pPr>
            <w:r>
              <w:rPr>
                <w:rStyle w:val="row-content"/>
                <w:color w:val="244061"/>
              </w:rPr>
              <w:t xml:space="preserve">       </w:t>
            </w:r>
            <w:hyperlink w:history="true" r:id="R4de59eabbdb048e4">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this indicator, the workforce for each profession is defined as those employed in Australia in the profession. This excludes those who are registered in the profession but are retired from regular work, working outside the profession, working in the profession but on extended leave of 3 months or more or working outside Australia.</w:t>
            </w:r>
          </w:p>
          <w:p>
            <w:pPr>
              <w:spacing w:after="160"/>
            </w:pPr>
            <w:r>
              <w:rPr>
                <w:rStyle w:val="row-content-rich-text"/>
              </w:rPr>
              <w:t xml:space="preserve">FTE number = Total hours worked by workforce ÷ Standard working week for selected professions.</w:t>
            </w:r>
          </w:p>
          <w:p>
            <w:pPr>
              <w:spacing w:after="160"/>
            </w:pPr>
            <w:r>
              <w:rPr>
                <w:rStyle w:val="row-content-rich-text"/>
              </w:rPr>
              <w:t xml:space="preserve">For the purpose of this indicator, a full-time working week has been defined as 40 hours for medical practitioners and as 38 hours for all other practitioners.</w:t>
            </w:r>
          </w:p>
          <w:p>
            <w:pPr>
              <w:spacing w:after="160"/>
            </w:pPr>
            <w:r>
              <w:rPr>
                <w:rStyle w:val="row-content-rich-text"/>
              </w:rPr>
              <w:t xml:space="preserve">Allied dental practitioners comprise dental therapists, dental prosthetists, dental hygienists and oral health therapists.</w:t>
            </w:r>
          </w:p>
          <w:p>
            <w:pPr>
              <w:spacing w:after="160"/>
            </w:pPr>
            <w:r>
              <w:rPr>
                <w:rStyle w:val="row-content-rich-text"/>
              </w:rPr>
              <w:t xml:space="preserve">Allied health practitioners comprise Aboriginal and Torres Strait Islander health practitioners, Chinese medicine practitioners, chiropractors, medical radiation practitioners, occupational therapists, optometrists, osteopaths, pharmacists, physiotherapists, podiatrists and psychologists.</w:t>
            </w:r>
          </w:p>
          <w:p>
            <w:pPr/>
            <w:r>
              <w:rPr>
                <w:rStyle w:val="row-content-rich-text"/>
              </w:rPr>
              <w:t xml:space="preserve">Since 2012–13, data have been presented as a </w:t>
            </w:r>
            <w:r>
              <w:rPr>
                <w:rStyle w:val="row-content-rich-text"/>
                <w:i/>
              </w:rPr>
              <w:t xml:space="preserve">rate per 100,000 population </w:t>
            </w:r>
            <w:r>
              <w:rPr>
                <w:rStyle w:val="row-content-rich-text"/>
              </w:rPr>
              <w:t xml:space="preserve">to improve interpretability (previously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FTE number in the workforce in the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Health profession—registered profession code, code AAAA</w:t>
            </w:r>
          </w:p>
          <w:p>
            <w:r>
              <w:rPr>
                <w:rStyle w:val="row-content"/>
              </w:rPr>
              <w:t xml:space="preserve"> </w:t>
            </w:r>
          </w:p>
          <w:p>
            <w:r>
              <w:rPr>
                <w:rStyle w:val="row-content"/>
                <w:b/>
              </w:rPr>
              <w:t xml:space="preserve">Data Source</w:t>
            </w:r>
          </w:p>
          <w:p>
            <w:hyperlink w:history="true" r:id="R12cafb84f7454baa">
              <w:r>
                <w:rPr>
                  <w:rStyle w:val="Hyperlink"/>
                </w:rPr>
                <w:t xml:space="preserve">National Health Workforce Data Set</w:t>
              </w:r>
            </w:hyperlink>
          </w:p>
          <w:p>
            <w:r>
              <w:rPr>
                <w:rStyle w:val="row-content"/>
                <w:b/>
              </w:rPr>
              <w:t xml:space="preserve">Guide for use</w:t>
            </w:r>
          </w:p>
          <w:p>
            <w:r>
              <w:rPr>
                <w:rStyle w:val="row-content"/>
              </w:rPr>
              <w:t xml:space="preserve"> </w:t>
            </w:r>
          </w:p>
          <w:p>
            <w:r>
              <w:rPr>
                <w:rStyle w:val="row-content"/>
              </w:rPr>
              <w:t xml:space="preserve">Data source type: Survey-based plus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Total FTE—based on hours worked (in all jobs), total NNN</w:t>
            </w:r>
          </w:p>
          <w:p>
            <w:r>
              <w:rPr>
                <w:rStyle w:val="row-content"/>
              </w:rPr>
              <w:t xml:space="preserve"> </w:t>
            </w:r>
          </w:p>
          <w:p>
            <w:r>
              <w:rPr>
                <w:rStyle w:val="row-content"/>
                <w:b/>
              </w:rPr>
              <w:t xml:space="preserve">Data Source</w:t>
            </w:r>
          </w:p>
          <w:p>
            <w:hyperlink w:history="true" r:id="Rd4ef92e3bfd8499e">
              <w:r>
                <w:rPr>
                  <w:rStyle w:val="Hyperlink"/>
                </w:rPr>
                <w:t xml:space="preserve">National Health Workforce Data Set</w:t>
              </w:r>
            </w:hyperlink>
          </w:p>
          <w:p>
            <w:r>
              <w:rPr>
                <w:rStyle w:val="row-content"/>
                <w:b/>
              </w:rPr>
              <w:t xml:space="preserve">Guide for use</w:t>
            </w:r>
          </w:p>
          <w:p>
            <w:r>
              <w:rPr>
                <w:rStyle w:val="row-content"/>
              </w:rPr>
              <w:t xml:space="preserve"> </w:t>
            </w:r>
          </w:p>
          <w:p>
            <w:r>
              <w:rPr>
                <w:rStyle w:val="row-content"/>
              </w:rPr>
              <w:t xml:space="preserve">Data source type: Survey-based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population in the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92816174fd249cb">
              <w:r>
                <w:rPr>
                  <w:rStyle w:val="Hyperlink"/>
                </w:rPr>
                <w:t xml:space="preserve">Person—estimated resident population of Australia, total people N[N(7)]</w:t>
              </w:r>
            </w:hyperlink>
          </w:p>
          <w:p>
            <w:r>
              <w:rPr>
                <w:rStyle w:val="row-content"/>
                <w:b/>
              </w:rPr>
              <w:t xml:space="preserve">Data Source</w:t>
            </w:r>
          </w:p>
          <w:p>
            <w:hyperlink w:history="true" r:id="R5d9ef6e86798492b">
              <w:r>
                <w:rPr>
                  <w:rStyle w:val="Hyperlink"/>
                </w:rPr>
                <w:t xml:space="preserve">ABS Estimated resident population (total population)</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2019—State and territory by age group by profession for the following professions:</w:t>
            </w:r>
          </w:p>
          <w:p>
            <w:pPr>
              <w:pStyle w:val="ListParagraph"/>
              <w:numPr>
                <w:ilvl w:val="0"/>
                <w:numId w:val="2"/>
              </w:numPr>
            </w:pPr>
            <w:r>
              <w:rPr>
                <w:rStyle w:val="row-content-rich-text"/>
              </w:rPr>
              <w:t xml:space="preserve">medical practitioners</w:t>
            </w:r>
          </w:p>
          <w:p>
            <w:pPr>
              <w:pStyle w:val="ListParagraph"/>
              <w:numPr>
                <w:ilvl w:val="0"/>
                <w:numId w:val="2"/>
              </w:numPr>
            </w:pPr>
            <w:r>
              <w:rPr>
                <w:rStyle w:val="row-content-rich-text"/>
              </w:rPr>
              <w:t xml:space="preserve">nursing and midwifery</w:t>
            </w:r>
          </w:p>
          <w:p>
            <w:pPr>
              <w:pStyle w:val="ListParagraph"/>
              <w:numPr>
                <w:ilvl w:val="0"/>
                <w:numId w:val="2"/>
              </w:numPr>
            </w:pPr>
            <w:r>
              <w:rPr>
                <w:rStyle w:val="row-content-rich-text"/>
              </w:rPr>
              <w:t xml:space="preserve">dentists</w:t>
            </w:r>
          </w:p>
          <w:p>
            <w:pPr>
              <w:pStyle w:val="ListParagraph"/>
              <w:numPr>
                <w:ilvl w:val="0"/>
                <w:numId w:val="2"/>
              </w:numPr>
            </w:pPr>
            <w:r>
              <w:rPr>
                <w:rStyle w:val="row-content-rich-text"/>
              </w:rPr>
              <w:t xml:space="preserve">allied dental practitioners</w:t>
            </w:r>
          </w:p>
          <w:p>
            <w:pPr>
              <w:pStyle w:val="ListParagraph"/>
              <w:numPr>
                <w:ilvl w:val="0"/>
                <w:numId w:val="2"/>
              </w:numPr>
            </w:pPr>
            <w:r>
              <w:rPr>
                <w:rStyle w:val="row-content-rich-text"/>
              </w:rPr>
              <w:t xml:space="preserve">allied health practitioners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Age group—age</w:t>
            </w:r>
          </w:p>
          <w:p>
            <w:r>
              <w:rPr>
                <w:rStyle w:val="row-content"/>
              </w:rPr>
              <w:t xml:space="preserve"> </w:t>
            </w:r>
          </w:p>
          <w:p>
            <w:r>
              <w:rPr>
                <w:rStyle w:val="row-content"/>
                <w:b/>
              </w:rPr>
              <w:t xml:space="preserve">Data Source</w:t>
            </w:r>
          </w:p>
          <w:p>
            <w:hyperlink w:history="true" r:id="R99545a02cc224e3f">
              <w:r>
                <w:rPr>
                  <w:rStyle w:val="Hyperlink"/>
                </w:rPr>
                <w:t xml:space="preserve">National Health Workforce Data Set</w:t>
              </w:r>
            </w:hyperlink>
          </w:p>
          <w:p>
            <w:r>
              <w:rPr>
                <w:rStyle w:val="row-content"/>
                <w:b/>
              </w:rPr>
              <w:t xml:space="preserve">Guide for use</w:t>
            </w:r>
          </w:p>
          <w:p>
            <w:r>
              <w:rPr>
                <w:rStyle w:val="row-content"/>
              </w:rPr>
              <w:t xml:space="preserve"> </w:t>
            </w:r>
          </w:p>
          <w:p>
            <w:r>
              <w:rPr>
                <w:rStyle w:val="row-content"/>
              </w:rPr>
              <w:t xml:space="preserve">Data source type: Survey-based plus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Health profession—registered profession code, code AAAA</w:t>
            </w:r>
          </w:p>
          <w:p>
            <w:r>
              <w:rPr>
                <w:rStyle w:val="row-content"/>
              </w:rPr>
              <w:t xml:space="preserve"> </w:t>
            </w:r>
          </w:p>
          <w:p>
            <w:r>
              <w:rPr>
                <w:rStyle w:val="row-content"/>
                <w:b/>
              </w:rPr>
              <w:t xml:space="preserve">Data Source</w:t>
            </w:r>
          </w:p>
          <w:p>
            <w:hyperlink w:history="true" r:id="Rea6fda0f26ef450f">
              <w:r>
                <w:rPr>
                  <w:rStyle w:val="Hyperlink"/>
                </w:rPr>
                <w:t xml:space="preserve">National Health Workforce Data Set</w:t>
              </w:r>
            </w:hyperlink>
          </w:p>
          <w:p>
            <w:r>
              <w:rPr>
                <w:rStyle w:val="row-content"/>
                <w:b/>
              </w:rPr>
              <w:t xml:space="preserve">Guide for use</w:t>
            </w:r>
          </w:p>
          <w:p>
            <w:r>
              <w:rPr>
                <w:rStyle w:val="row-content"/>
              </w:rPr>
              <w:t xml:space="preserve"> </w:t>
            </w:r>
          </w:p>
          <w:p>
            <w:r>
              <w:rPr>
                <w:rStyle w:val="row-content"/>
              </w:rPr>
              <w:t xml:space="preserve">Data source type: Survey-based plus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State—Australian state/territory identifier</w:t>
            </w:r>
          </w:p>
          <w:p>
            <w:r>
              <w:rPr>
                <w:rStyle w:val="row-content"/>
              </w:rPr>
              <w:t xml:space="preserve"> </w:t>
            </w:r>
          </w:p>
          <w:p>
            <w:r>
              <w:rPr>
                <w:rStyle w:val="row-content"/>
                <w:b/>
              </w:rPr>
              <w:t xml:space="preserve">Data Source</w:t>
            </w:r>
          </w:p>
          <w:p>
            <w:hyperlink w:history="true" r:id="Rba26f00293e24e7b">
              <w:r>
                <w:rPr>
                  <w:rStyle w:val="Hyperlink"/>
                </w:rPr>
                <w:t xml:space="preserve">National Health Workforce Data Set</w:t>
              </w:r>
            </w:hyperlink>
          </w:p>
          <w:p>
            <w:r>
              <w:rPr>
                <w:rStyle w:val="row-content"/>
                <w:b/>
              </w:rPr>
              <w:t xml:space="preserve">Guide for use</w:t>
            </w:r>
          </w:p>
          <w:p>
            <w:r>
              <w:rPr>
                <w:rStyle w:val="row-content"/>
              </w:rPr>
              <w:t xml:space="preserve"> </w:t>
            </w:r>
          </w:p>
          <w:p>
            <w:r>
              <w:rPr>
                <w:rStyle w:val="row-content"/>
              </w:rPr>
              <w:t xml:space="preserve">Data source type: Survey-based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2021 National Healthcare Agreement performance reporting: 2019.</w:t>
            </w:r>
          </w:p>
          <w:p>
            <w:pPr>
              <w:spacing w:after="160"/>
            </w:pPr>
            <w:r>
              <w:rPr>
                <w:rStyle w:val="row-content-rich-text"/>
              </w:rPr>
              <w:t xml:space="preserve">The 2019 National Health Workforce Dataset was sourced from the Australian Government Department of Health.</w:t>
            </w:r>
          </w:p>
          <w:p>
            <w:pPr>
              <w:spacing w:after="160"/>
            </w:pPr>
            <w:r>
              <w:rPr>
                <w:rStyle w:val="row-content-rich-text"/>
              </w:rPr>
              <w:t xml:space="preserve">FTE employed health practitioner rates calculated from the National Health Workforce Data Set are available on a national basis from 2011.</w:t>
            </w:r>
          </w:p>
          <w:p>
            <w:pPr>
              <w:spacing w:after="160"/>
            </w:pPr>
            <w:r>
              <w:rPr>
                <w:rStyle w:val="row-content-rich-text"/>
              </w:rPr>
              <w:t xml:space="preserve">For medical practitioners, nurses and midwives, dentists, allied dental practitioners and allied health practitioners, 10-year age groups will be needed to support the disaggregation by state and territory. Age groups are: under 25, 25–34, 35–44, 45–54, 55–64 and 65 or over.</w:t>
            </w:r>
          </w:p>
          <w:p>
            <w:pPr>
              <w:spacing w:after="160"/>
            </w:pPr>
            <w:r>
              <w:rPr>
                <w:rStyle w:val="row-content-rich-text"/>
              </w:rPr>
              <w:t xml:space="preserve">Status of the calculation of full-time equivalent employed health practitioner rate for professions is:</w:t>
            </w:r>
          </w:p>
          <w:p>
            <w:pPr>
              <w:pStyle w:val="ListParagraph"/>
              <w:numPr>
                <w:ilvl w:val="0"/>
                <w:numId w:val="3"/>
              </w:numPr>
            </w:pPr>
            <w:r>
              <w:rPr>
                <w:rStyle w:val="row-content-rich-text"/>
              </w:rPr>
              <w:t xml:space="preserve">Medical practitioner workforce: Data for 2019 are available.</w:t>
            </w:r>
          </w:p>
          <w:p>
            <w:pPr>
              <w:pStyle w:val="ListParagraph"/>
              <w:numPr>
                <w:ilvl w:val="0"/>
                <w:numId w:val="3"/>
              </w:numPr>
            </w:pPr>
            <w:r>
              <w:rPr>
                <w:rStyle w:val="row-content-rich-text"/>
              </w:rPr>
              <w:t xml:space="preserve">Nursing and midwifery workforce: Data for 2019 are available.</w:t>
            </w:r>
          </w:p>
          <w:p>
            <w:pPr>
              <w:pStyle w:val="ListParagraph"/>
              <w:numPr>
                <w:ilvl w:val="0"/>
                <w:numId w:val="3"/>
              </w:numPr>
            </w:pPr>
            <w:r>
              <w:rPr>
                <w:rStyle w:val="row-content-rich-text"/>
              </w:rPr>
              <w:t xml:space="preserve">Dental workforce: Data for 2019 are available.</w:t>
            </w:r>
          </w:p>
          <w:p>
            <w:pPr>
              <w:pStyle w:val="ListParagraph"/>
              <w:numPr>
                <w:ilvl w:val="0"/>
                <w:numId w:val="3"/>
              </w:numPr>
            </w:pPr>
            <w:r>
              <w:rPr>
                <w:rStyle w:val="row-content-rich-text"/>
              </w:rPr>
              <w:t xml:space="preserve">Allied health workforce: Data for 2019 are available. The allied health workforce comprises the professions of Aboriginal and Torres Strait Islander health practitioners, Chinese medicine practitioners, chiropractors, medical radiation practitioners, occupational therapists, optometrists, osteopaths, pharmacists, physiotherapists, podiatrists and psychologists.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9daac2d737d4a21">
              <w:r>
                <w:rPr>
                  <w:rStyle w:val="Hyperlink"/>
                </w:rPr>
                <w:t xml:space="preserve">Efficiency &amp; 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1474dbdb6c84411">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bbc87cea241a480e">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0530db8f57b747d8">
              <w:r>
                <w:rPr>
                  <w:rStyle w:val="Hyperlink"/>
                </w:rPr>
                <w:t xml:space="preserve">National Health Workforce Data Set</w:t>
              </w:r>
            </w:hyperlink>
          </w:p>
          <w:p>
            <w:r>
              <w:rPr>
                <w:rStyle w:val="row-content"/>
                <w:b/>
              </w:rPr>
              <w:t xml:space="preserve">Data custodian</w:t>
            </w:r>
          </w:p>
          <w:p>
            <w:r>
              <w:rPr>
                <w:rStyle w:val="row-content"/>
              </w:rPr>
              <w:t xml:space="preserve"> </w:t>
            </w:r>
          </w:p>
          <w:p>
            <w:r>
              <w:rPr>
                <w:rStyle w:val="row-content"/>
              </w:rPr>
              <w:t xml:space="preserve">Australian Government Department of Health</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Department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0813f747e2f484b">
              <w:r>
                <w:rPr>
                  <w:rStyle w:val="Hyperlink"/>
                </w:rPr>
                <w:t xml:space="preserve">National Healthcare Agreement: PI 33–Full time equivalent employed health practitioners per 1,000 population (by age group), 2020</w:t>
              </w:r>
            </w:hyperlink>
          </w:p>
          <w:p>
            <w:pPr>
              <w:spacing w:before="0" w:after="0"/>
            </w:pPr>
            <w:r>
              <w:rPr>
                <w:rStyle w:val="row-content"/>
                <w:color w:val="244061"/>
              </w:rPr>
              <w:t xml:space="preserve">       </w:t>
            </w:r>
            <w:hyperlink w:history="true" r:id="R11872ac0ef9145e3">
              <w:r>
                <w:rPr>
                  <w:rStyle w:val="Hyperlink"/>
                  <w:color w:val="244061"/>
                </w:rPr>
                <w:t xml:space="preserve">Health</w:t>
              </w:r>
            </w:hyperlink>
            <w:r>
              <w:rPr>
                <w:rStyle w:val="row-content"/>
                <w:color w:val="244061"/>
              </w:rPr>
              <w:t xml:space="preserve">, Standard 13/03/2020</w:t>
            </w:r>
          </w:p>
          <w:p>
            <w:r>
              <w:br/>
            </w:r>
            <w:r>
              <w:rPr>
                <w:rStyle w:val="row-content"/>
              </w:rPr>
              <w:t xml:space="preserve">Has been superseded by </w:t>
            </w:r>
            <w:hyperlink w:history="true" r:id="Rea7430abbf524e8e">
              <w:r>
                <w:rPr>
                  <w:rStyle w:val="Hyperlink"/>
                </w:rPr>
                <w:t xml:space="preserve">National Healthcare Agreement: PI 33–Full time equivalent employed health practitioners per 1,000 population (by age group), 2022</w:t>
              </w:r>
            </w:hyperlink>
          </w:p>
          <w:p>
            <w:pPr>
              <w:spacing w:before="0" w:after="0"/>
            </w:pPr>
            <w:r>
              <w:rPr>
                <w:rStyle w:val="row-content"/>
                <w:color w:val="244061"/>
              </w:rPr>
              <w:t xml:space="preserve">       </w:t>
            </w:r>
            <w:hyperlink w:history="true" r:id="Ra4a55df39bf142bb">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b9147b6df8fa41aa">
              <w:r>
                <w:rPr>
                  <w:rStyle w:val="Hyperlink"/>
                </w:rPr>
                <w:t xml:space="preserve">National Healthcare Agreement: PI 12–Waiting times for GPs, 2021</w:t>
              </w:r>
            </w:hyperlink>
          </w:p>
          <w:p>
            <w:pPr>
              <w:spacing w:before="0" w:after="0"/>
            </w:pPr>
            <w:r>
              <w:rPr>
                <w:rStyle w:val="row-content"/>
                <w:color w:val="244061"/>
              </w:rPr>
              <w:t xml:space="preserve">       </w:t>
            </w:r>
            <w:hyperlink w:history="true" r:id="R5545779ad62847d5">
              <w:r>
                <w:rPr>
                  <w:rStyle w:val="Hyperlink"/>
                  <w:color w:val="244061"/>
                </w:rPr>
                <w:t xml:space="preserve">Health</w:t>
              </w:r>
            </w:hyperlink>
            <w:r>
              <w:rPr>
                <w:rStyle w:val="row-content"/>
                <w:color w:val="244061"/>
              </w:rPr>
              <w:t xml:space="preserve">, Standard 03/07/2020</w:t>
            </w:r>
          </w:p>
          <w:p>
            <w:r>
              <w:br/>
            </w:r>
          </w:p>
        </w:tc>
      </w:tr>
    </w:tbl>
    <w:p>
      <w:r>
        <w:br/>
      </w:r>
    </w:p>
    <w:sectPr>
      <w:footerReference xmlns:r="http://schemas.openxmlformats.org/officeDocument/2006/relationships" w:type="default" r:id="R679e2b53d37c47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725755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fd722df4d940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9e2b53d37c47cc" /><Relationship Type="http://schemas.openxmlformats.org/officeDocument/2006/relationships/header" Target="/word/header1.xml" Id="Rce93cfaa04c149df" /><Relationship Type="http://schemas.openxmlformats.org/officeDocument/2006/relationships/settings" Target="/word/settings.xml" Id="R00c678f5868a4b58" /><Relationship Type="http://schemas.openxmlformats.org/officeDocument/2006/relationships/styles" Target="/word/styles.xml" Id="R6437f4d8190345b1" /><Relationship Type="http://schemas.openxmlformats.org/officeDocument/2006/relationships/hyperlink" Target="https://meteor.aihw.gov.au/RegistrationAuthority/12" TargetMode="External" Id="Ra011e1fdbaa54abb" /><Relationship Type="http://schemas.openxmlformats.org/officeDocument/2006/relationships/hyperlink" Target="https://meteor.aihw.gov.au/content/725844" TargetMode="External" Id="R00cc1dbbd1c04c85" /><Relationship Type="http://schemas.openxmlformats.org/officeDocument/2006/relationships/hyperlink" Target="https://meteor.aihw.gov.au/RegistrationAuthority/12" TargetMode="External" Id="Rcae7d424104a4cc7" /><Relationship Type="http://schemas.openxmlformats.org/officeDocument/2006/relationships/hyperlink" Target="https://meteor.aihw.gov.au/content/393495" TargetMode="External" Id="R86170eab0e844bbd" /><Relationship Type="http://schemas.openxmlformats.org/officeDocument/2006/relationships/hyperlink" Target="https://meteor.aihw.gov.au/RegistrationAuthority/12" TargetMode="External" Id="R4de59eabbdb048e4" /><Relationship Type="http://schemas.openxmlformats.org/officeDocument/2006/relationships/hyperlink" Target="https://meteor.aihw.gov.au/content/723463" TargetMode="External" Id="R12cafb84f7454baa" /><Relationship Type="http://schemas.openxmlformats.org/officeDocument/2006/relationships/hyperlink" Target="https://meteor.aihw.gov.au/content/723463" TargetMode="External" Id="Rd4ef92e3bfd8499e" /><Relationship Type="http://schemas.openxmlformats.org/officeDocument/2006/relationships/hyperlink" Target="https://meteor.aihw.gov.au/content/388656" TargetMode="External" Id="R092816174fd249cb" /><Relationship Type="http://schemas.openxmlformats.org/officeDocument/2006/relationships/hyperlink" Target="https://meteor.aihw.gov.au/content/393625" TargetMode="External" Id="R5d9ef6e86798492b" /><Relationship Type="http://schemas.openxmlformats.org/officeDocument/2006/relationships/numbering" Target="/word/numbering.xml" Id="R94bddc878ee44158" /><Relationship Type="http://schemas.openxmlformats.org/officeDocument/2006/relationships/hyperlink" Target="https://meteor.aihw.gov.au/content/723463" TargetMode="External" Id="R99545a02cc224e3f" /><Relationship Type="http://schemas.openxmlformats.org/officeDocument/2006/relationships/hyperlink" Target="https://meteor.aihw.gov.au/content/723463" TargetMode="External" Id="Rea6fda0f26ef450f" /><Relationship Type="http://schemas.openxmlformats.org/officeDocument/2006/relationships/hyperlink" Target="https://meteor.aihw.gov.au/content/723463" TargetMode="External" Id="Rba26f00293e24e7b" /><Relationship Type="http://schemas.openxmlformats.org/officeDocument/2006/relationships/hyperlink" Target="https://meteor.aihw.gov.au/content/392586" TargetMode="External" Id="Rb9daac2d737d4a21" /><Relationship Type="http://schemas.openxmlformats.org/officeDocument/2006/relationships/hyperlink" Target="https://meteor.aihw.gov.au/content/393625" TargetMode="External" Id="Rf1474dbdb6c84411" /><Relationship Type="http://schemas.openxmlformats.org/officeDocument/2006/relationships/hyperlink" Target="https://meteor.aihw.gov.au/content/449216" TargetMode="External" Id="Rbbc87cea241a480e" /><Relationship Type="http://schemas.openxmlformats.org/officeDocument/2006/relationships/hyperlink" Target="https://meteor.aihw.gov.au/content/723463" TargetMode="External" Id="R0530db8f57b747d8" /><Relationship Type="http://schemas.openxmlformats.org/officeDocument/2006/relationships/hyperlink" Target="https://meteor.aihw.gov.au/content/716869" TargetMode="External" Id="R20813f747e2f484b" /><Relationship Type="http://schemas.openxmlformats.org/officeDocument/2006/relationships/hyperlink" Target="https://meteor.aihw.gov.au/RegistrationAuthority/12" TargetMode="External" Id="R11872ac0ef9145e3" /><Relationship Type="http://schemas.openxmlformats.org/officeDocument/2006/relationships/hyperlink" Target="https://meteor.aihw.gov.au/content/740740" TargetMode="External" Id="Rea7430abbf524e8e" /><Relationship Type="http://schemas.openxmlformats.org/officeDocument/2006/relationships/hyperlink" Target="https://meteor.aihw.gov.au/RegistrationAuthority/12" TargetMode="External" Id="Ra4a55df39bf142bb" /><Relationship Type="http://schemas.openxmlformats.org/officeDocument/2006/relationships/hyperlink" Target="https://meteor.aihw.gov.au/content/725805" TargetMode="External" Id="Rb9147b6df8fa41aa" /><Relationship Type="http://schemas.openxmlformats.org/officeDocument/2006/relationships/hyperlink" Target="https://meteor.aihw.gov.au/RegistrationAuthority/12" TargetMode="External" Id="R5545779ad62847d5" /></Relationships>
</file>

<file path=word/_rels/header1.xml.rels>&#65279;<?xml version="1.0" encoding="utf-8"?><Relationships xmlns="http://schemas.openxmlformats.org/package/2006/relationships"><Relationship Type="http://schemas.openxmlformats.org/officeDocument/2006/relationships/image" Target="/media/image.png" Id="Rbdfd722df4d9406f" /></Relationships>
</file>