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742bfd42de4ed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 – Mental health readmissions to hospital,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 – Mental health readmissions to hospital,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 Mental health readmissions to hospital,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bd30f062ab494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separations from the mental health service organisation’s acute psychiatric inpatient unit that are followed by readmission to the same or to another public sector acute psychiatric inpatient unit within 28 days of discharge.</w:t>
            </w:r>
          </w:p>
          <w:p>
            <w:pPr/>
            <w:r>
              <w:rPr>
                <w:rStyle w:val="row-content-rich-text"/>
                <w:b/>
              </w:rPr>
              <w:t xml:space="preserve">NOTE:</w:t>
            </w:r>
            <w:r>
              <w:rPr>
                <w:rStyle w:val="row-content-rich-text"/>
              </w:rPr>
              <w:t xml:space="preserve"> This indicator is related to </w:t>
            </w:r>
            <w:r>
              <w:rPr>
                <w:rStyle w:val="row-content-rich-text"/>
                <w:i/>
              </w:rPr>
              <w:t xml:space="preserve">Mental health readmissions to hospital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separation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741a5928734de0">
              <w:r>
                <w:rPr>
                  <w:rStyle w:val="Hyperlink"/>
                </w:rPr>
                <w:t xml:space="preserve">Key Performance Indicators for Australian Public Mental Health Services (Service level version) (2020)</w:t>
              </w:r>
            </w:hyperlink>
          </w:p>
          <w:p>
            <w:pPr>
              <w:pStyle w:val="registration-status"/>
              <w:spacing w:before="0" w:after="0"/>
            </w:pPr>
            <w:hyperlink w:history="true" r:id="R9b09255bc3974794">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4"/>
              </w:numPr>
            </w:pPr>
            <w:r>
              <w:rPr>
                <w:rStyle w:val="row-content-rich-text"/>
              </w:rPr>
              <w:t xml:space="preserve">Readmissions where the initial separation occurred within the reference period are in scope.</w:t>
            </w:r>
          </w:p>
          <w:p>
            <w:pPr>
              <w:pStyle w:val="ListParagraph"/>
              <w:numPr>
                <w:ilvl w:val="0"/>
                <w:numId w:val="4"/>
              </w:numPr>
            </w:pPr>
            <w:r>
              <w:rPr>
                <w:rStyle w:val="row-content-rich-text"/>
              </w:rPr>
              <w:t xml:space="preserve">Readmission is considered to have occurred if the person is admitted to any public acute psychiatric inpatient unit within the state/territory. Consequently, a state-wide unique patient identifier is required for accurate construction of this indicator.</w:t>
            </w:r>
          </w:p>
          <w:p>
            <w:pPr>
              <w:pStyle w:val="ListParagraph"/>
              <w:numPr>
                <w:ilvl w:val="0"/>
                <w:numId w:val="4"/>
              </w:numPr>
            </w:pPr>
            <w:r>
              <w:rPr>
                <w:rStyle w:val="row-content-rich-text"/>
              </w:rPr>
              <w:t xml:space="preserve">Readmissions where the person is separated and readmitted on the same day are included.</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care type of individual consumers.</w:t>
            </w:r>
          </w:p>
          <w:p>
            <w:pPr>
              <w:pStyle w:val="ListParagraph"/>
              <w:numPr>
                <w:ilvl w:val="0"/>
                <w:numId w:val="4"/>
              </w:numPr>
            </w:pPr>
            <w:r>
              <w:rPr>
                <w:rStyle w:val="row-content-rich-text"/>
              </w:rPr>
              <w:t xml:space="preserve">The following ECT procedure codes are relevant for the excluded separations specified above:</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admitted patient mental health care service unit(s) occurring within the reference period, that are followed by a readmission to the same or another acute psychiatric inpatient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diagnosis,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99d618337dc4916">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data limitations this indicator cannot differentiate between planned and unplanned readmissions.</w:t>
            </w:r>
          </w:p>
          <w:p>
            <w:pPr/>
            <w:r>
              <w:rPr>
                <w:rStyle w:val="row-content-rich-text"/>
              </w:rPr>
              <w:t xml:space="preserve">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692aad5cea43d7">
              <w:r>
                <w:rPr>
                  <w:rStyle w:val="Hyperlink"/>
                </w:rPr>
                <w:t xml:space="preserve">KPIs for Australian Public Mental Health Services: PI 02 – Mental health readmissions to hospital, 2019 (Service level)</w:t>
              </w:r>
            </w:hyperlink>
          </w:p>
          <w:p>
            <w:pPr>
              <w:pStyle w:val="registration-status"/>
              <w:spacing w:before="0" w:after="0"/>
            </w:pPr>
            <w:hyperlink w:history="true" r:id="R683b66c7711d4bfb">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49c771f9f51481c">
              <w:r>
                <w:rPr>
                  <w:rStyle w:val="Hyperlink"/>
                </w:rPr>
                <w:t xml:space="preserve">KPIs for Australian Public Mental Health Services: PI 02 – Mental health readmissions to hospital, 2021– (Service level)</w:t>
              </w:r>
            </w:hyperlink>
          </w:p>
          <w:p>
            <w:pPr>
              <w:pStyle w:val="registration-status"/>
              <w:spacing w:before="0" w:after="0"/>
            </w:pPr>
            <w:hyperlink w:history="true" r:id="R2742755435e342bd">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918e6744be8a40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ae082807043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8e6744be8a4054" /><Relationship Type="http://schemas.openxmlformats.org/officeDocument/2006/relationships/header" Target="/word/header1.xml" Id="Rf76f4b49ba034c7e" /><Relationship Type="http://schemas.openxmlformats.org/officeDocument/2006/relationships/settings" Target="/word/settings.xml" Id="R03bcf070195e4773" /><Relationship Type="http://schemas.openxmlformats.org/officeDocument/2006/relationships/styles" Target="/word/styles.xml" Id="R0255b762d37c499b" /><Relationship Type="http://schemas.openxmlformats.org/officeDocument/2006/relationships/numbering" Target="/word/numbering.xml" Id="Rd1f7bb5d5fbf4798" /><Relationship Type="http://schemas.openxmlformats.org/officeDocument/2006/relationships/hyperlink" Target="https://meteor.aihw.gov.au/RegistrationAuthority/12" TargetMode="External" Id="Rd7bd30f062ab4942" /><Relationship Type="http://schemas.openxmlformats.org/officeDocument/2006/relationships/hyperlink" Target="https://meteor.aihw.gov.au/content/720490" TargetMode="External" Id="Rf2741a5928734de0" /><Relationship Type="http://schemas.openxmlformats.org/officeDocument/2006/relationships/hyperlink" Target="https://meteor.aihw.gov.au/RegistrationAuthority/12" TargetMode="External" Id="R9b09255bc3974794" /><Relationship Type="http://schemas.openxmlformats.org/officeDocument/2006/relationships/hyperlink" Target="https://meteor.aihw.gov.au/content/721196" TargetMode="External" Id="Rb99d618337dc4916" /><Relationship Type="http://schemas.openxmlformats.org/officeDocument/2006/relationships/hyperlink" Target="https://meteor.aihw.gov.au/content/712092" TargetMode="External" Id="R7a692aad5cea43d7" /><Relationship Type="http://schemas.openxmlformats.org/officeDocument/2006/relationships/hyperlink" Target="https://meteor.aihw.gov.au/RegistrationAuthority/12" TargetMode="External" Id="R683b66c7711d4bfb" /><Relationship Type="http://schemas.openxmlformats.org/officeDocument/2006/relationships/hyperlink" Target="https://meteor.aihw.gov.au/content/742460" TargetMode="External" Id="Rd49c771f9f51481c" /><Relationship Type="http://schemas.openxmlformats.org/officeDocument/2006/relationships/hyperlink" Target="https://meteor.aihw.gov.au/RegistrationAuthority/12" TargetMode="External" Id="R2742755435e342bd" /></Relationships>
</file>

<file path=word/_rels/header1.xml.rels>&#65279;<?xml version="1.0" encoding="utf-8"?><Relationships xmlns="http://schemas.openxmlformats.org/package/2006/relationships"><Relationship Type="http://schemas.openxmlformats.org/officeDocument/2006/relationships/image" Target="/media/image.png" Id="Raecae0828070431d" /></Relationships>
</file>