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f2a76524c2456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10 – Comparative area resources,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10 – Comparative area resources,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10: Comparative area resources,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6cdceca3924723">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 capita recurrent expenditure by the organisation on mental health services for the target population within the organisation's defined catchment area.</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Equity of access to mental health services is, in part, a function of differential level of resources allocated to area populations.</w:t>
            </w:r>
          </w:p>
          <w:p>
            <w:pPr>
              <w:pStyle w:val="ListParagraph"/>
              <w:numPr>
                <w:ilvl w:val="0"/>
                <w:numId w:val="2"/>
              </w:numPr>
            </w:pPr>
            <w:r>
              <w:rPr>
                <w:rStyle w:val="row-content-rich-text"/>
              </w:rPr>
              <w:t xml:space="preserve">Review of comparative resource levels is essential for interpreting overall performance data, for example, an organisation may achieve relatively lower treatment rates because it has relatively less resources available rather than because it uses those resources inefficiently.</w:t>
            </w:r>
          </w:p>
          <w:p>
            <w:pPr>
              <w:pStyle w:val="ListParagraph"/>
              <w:numPr>
                <w:ilvl w:val="0"/>
                <w:numId w:val="2"/>
              </w:numPr>
            </w:pPr>
            <w:r>
              <w:rPr>
                <w:rStyle w:val="row-content-rich-text"/>
              </w:rPr>
              <w:t xml:space="preserve">When used with measures of population under care this indicator may illustrate relative resourcing in terms local mental health service delivery and therefore accessibility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dc1fbb98194df6">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964a7d9b09dd452b">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Public sector mental health services that provide a cross regional or state-wide specialist function are excluded.</w:t>
            </w:r>
          </w:p>
          <w:p>
            <w:pPr>
              <w:spacing w:after="160"/>
            </w:pPr>
            <w:r>
              <w:rPr>
                <w:rStyle w:val="row-content-rich-text"/>
              </w:rPr>
              <w:t xml:space="preserve">Methodology:</w:t>
            </w:r>
          </w:p>
          <w:p>
            <w:pPr>
              <w:pStyle w:val="ListParagraph"/>
              <w:numPr>
                <w:ilvl w:val="0"/>
                <w:numId w:val="3"/>
              </w:numPr>
            </w:pPr>
            <w:r>
              <w:rPr>
                <w:rStyle w:val="row-content-rich-text"/>
              </w:rPr>
              <w:t xml:space="preserve">Estimates of expenditure for defined populations are based on expenditure reported by the mental health service organisation with specific catchment responsibility for the population, adjusted to remove any cross-regional and state-wide services included in the organisation’s expenditure.</w:t>
            </w:r>
          </w:p>
          <w:p>
            <w:pPr>
              <w:pStyle w:val="ListParagraph"/>
              <w:numPr>
                <w:ilvl w:val="0"/>
                <w:numId w:val="3"/>
              </w:numPr>
            </w:pPr>
            <w:r>
              <w:rPr>
                <w:rStyle w:val="row-content-rich-text"/>
              </w:rPr>
              <w:t xml:space="preserve">Defined populations should match with catchment areas of the mental health service organisations.</w:t>
            </w:r>
          </w:p>
          <w:p>
            <w:pPr>
              <w:pStyle w:val="ListParagraph"/>
              <w:numPr>
                <w:ilvl w:val="0"/>
                <w:numId w:val="3"/>
              </w:numPr>
            </w:pPr>
            <w:r>
              <w:rPr>
                <w:rStyle w:val="row-content-rich-text"/>
              </w:rPr>
              <w:t xml:space="preserve">Recurrent costs include costs directly attributable to the unit(s) plus a proportional share of indirect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separately for setting and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mental health services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service setting.</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0674abb6e5497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using the Mental health establishments NMDS because information about catchment areas is not available for all public mental health service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Catchment area data for all public mental health service organisations needs to be available to report this indicator from national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assumes that the expenditure reported by the local mental health service organisation is directed to its catchment population and does not take account of cross border flows. The alternative approach of basing estimates on actual service utilisation by populations is desirable and needs to be explored in the future. Such an approach will require reliable utilisation data and development of cost modelling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94a5044e524329">
              <w:r>
                <w:rPr>
                  <w:rStyle w:val="Hyperlink"/>
                </w:rPr>
                <w:t xml:space="preserve">KPIs for Australian Public Mental Health Services: PI 10 – Comparative area resources, 2019 (Service level)</w:t>
              </w:r>
            </w:hyperlink>
          </w:p>
          <w:p>
            <w:pPr>
              <w:spacing w:before="0" w:after="0"/>
            </w:pPr>
            <w:r>
              <w:rPr>
                <w:rStyle w:val="row-content"/>
                <w:color w:val="244061"/>
              </w:rPr>
              <w:t xml:space="preserve">       </w:t>
            </w:r>
            <w:hyperlink w:history="true" r:id="R9198a247a1404f6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f92755eae285409d">
              <w:r>
                <w:rPr>
                  <w:rStyle w:val="Hyperlink"/>
                </w:rPr>
                <w:t xml:space="preserve">KPIs for Australian Public Mental Health Services: PI 10 – Comparative area resources, 2021– (Service level)</w:t>
              </w:r>
            </w:hyperlink>
          </w:p>
          <w:p>
            <w:pPr>
              <w:spacing w:before="0" w:after="0"/>
            </w:pPr>
            <w:r>
              <w:rPr>
                <w:rStyle w:val="row-content"/>
                <w:color w:val="244061"/>
              </w:rPr>
              <w:t xml:space="preserve">       </w:t>
            </w:r>
            <w:hyperlink w:history="true" r:id="R8ed5f1f0423d4242">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cbdb43a3b4054f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725515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6f98d23c2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b43a3b4054fd8" /><Relationship Type="http://schemas.openxmlformats.org/officeDocument/2006/relationships/header" Target="/word/header1.xml" Id="Raed07787ed2f4da7" /><Relationship Type="http://schemas.openxmlformats.org/officeDocument/2006/relationships/settings" Target="/word/settings.xml" Id="R94c1ffa638ef48e3" /><Relationship Type="http://schemas.openxmlformats.org/officeDocument/2006/relationships/styles" Target="/word/styles.xml" Id="R4d519c154bff4048" /><Relationship Type="http://schemas.openxmlformats.org/officeDocument/2006/relationships/hyperlink" Target="https://meteor.aihw.gov.au/RegistrationAuthority/12" TargetMode="External" Id="Rb76cdceca3924723" /><Relationship Type="http://schemas.openxmlformats.org/officeDocument/2006/relationships/numbering" Target="/word/numbering.xml" Id="R48cd4285c31a4da7" /><Relationship Type="http://schemas.openxmlformats.org/officeDocument/2006/relationships/hyperlink" Target="https://meteor.aihw.gov.au/content/720490" TargetMode="External" Id="Rafdc1fbb98194df6" /><Relationship Type="http://schemas.openxmlformats.org/officeDocument/2006/relationships/hyperlink" Target="https://meteor.aihw.gov.au/RegistrationAuthority/12" TargetMode="External" Id="R964a7d9b09dd452b" /><Relationship Type="http://schemas.openxmlformats.org/officeDocument/2006/relationships/hyperlink" Target="https://meteor.aihw.gov.au/content/721203" TargetMode="External" Id="R020674abb6e54973" /><Relationship Type="http://schemas.openxmlformats.org/officeDocument/2006/relationships/hyperlink" Target="https://meteor.aihw.gov.au/content/712084" TargetMode="External" Id="Rdf94a5044e524329" /><Relationship Type="http://schemas.openxmlformats.org/officeDocument/2006/relationships/hyperlink" Target="https://meteor.aihw.gov.au/RegistrationAuthority/12" TargetMode="External" Id="R9198a247a1404f66" /><Relationship Type="http://schemas.openxmlformats.org/officeDocument/2006/relationships/hyperlink" Target="https://meteor.aihw.gov.au/content/742484" TargetMode="External" Id="Rf92755eae285409d" /><Relationship Type="http://schemas.openxmlformats.org/officeDocument/2006/relationships/hyperlink" Target="https://meteor.aihw.gov.au/RegistrationAuthority/12" TargetMode="External" Id="R8ed5f1f0423d4242" /></Relationships>
</file>

<file path=word/_rels/header1.xml.rels>&#65279;<?xml version="1.0" encoding="utf-8"?><Relationships xmlns="http://schemas.openxmlformats.org/package/2006/relationships"><Relationship Type="http://schemas.openxmlformats.org/officeDocument/2006/relationships/image" Target="/media/image.png" Id="R9306f98d23c24660" /></Relationships>
</file>