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4823e7e9414a3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 in mental health consumer's clinical outcomes,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 in mental health consumer's clinical outcomes,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mental health consumer's clinical outcomes,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6e6edd35b401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w:t>
            </w:r>
            <w:r>
              <w:rPr>
                <w:rStyle w:val="row-content-rich-text"/>
                <w:i/>
              </w:rPr>
              <w:t xml:space="preserve">Change in mental health consumer's clinical outcomes (Jurisdictional level)</w:t>
            </w:r>
            <w:r>
              <w:rPr>
                <w:rStyle w:val="row-content-rich-text"/>
              </w:rPr>
              <w:t xml:space="preserve">.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9dc4b84f94470c">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7d6a240558a442c6">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4f388236704f4873">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91db3787b5fc4ec3">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Health of the Nation Outcome Scales Child and Adolescent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NOCC ‘reason for collection’ equals change of setting.</w:t>
            </w:r>
            <w:r>
              <w:br/>
            </w:r>
            <w:r>
              <w:rPr>
                <w:rStyle w:val="row-content-rich-text"/>
              </w:rPr>
              <w:t xml:space="preserve">*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 HoNOS65+ or HoNOSCA items have not been completed correctly, the collection occasion should only be regarded as valid and complete if:</w:t>
            </w:r>
            <w:r>
              <w:br/>
            </w:r>
            <w:r>
              <w:rPr>
                <w:rStyle w:val="row-content-rich-text"/>
              </w:rPr>
              <w:t xml:space="preserve">* For the HoNOS/HoNOS65+, a minimum of 10 of the 12 items have a valid severity rating (i.e. a rating of either 0, 1, 2, 3 or 4);</w:t>
            </w:r>
            <w:r>
              <w:br/>
            </w:r>
            <w:r>
              <w:rPr>
                <w:rStyle w:val="row-content-rich-text"/>
              </w:rPr>
              <w:t xml:space="preserve">* For the HoNOSCA, a minimum of 11 of the first 13 items have a valid severity rating;</w:t>
            </w:r>
            <w:r>
              <w:br/>
            </w:r>
            <w:r>
              <w:rPr>
                <w:rStyle w:val="row-content-rich-text"/>
              </w:rPr>
              <w:t xml:space="preserve">* There are no corrections made for missing items.</w:t>
            </w:r>
          </w:p>
          <w:p>
            <w:pPr>
              <w:pStyle w:val="ListParagraph"/>
              <w:numPr>
                <w:ilvl w:val="0"/>
                <w:numId w:val="4"/>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a medium effect size of 0.5 is used to assign outcome scores to the three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Inpatient and ambulatory settings- a four point threshold indicates a medium effect size. In practice this means an individual change score of at least four points equates to a medium effect size and significant change. This threshold is the same for all three HoNOS measures.</w:t>
            </w:r>
            <w:r>
              <w:br/>
            </w:r>
            <w:r>
              <w:rPr>
                <w:rStyle w:val="row-content-rich-text"/>
              </w:rPr>
              <w:t xml:space="preserve">* Residential settings- a five point threshold indicates a medium effect size. In practice this means an individual change score of a least five points equates to a medium effect size and significant change. There was only sufficient data to construct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f76b447ebc4b9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subset of episodes, which have commenced within the same financial year, are used for producing this indicator from the NOCC. 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an episode identifier into the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7"/>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7"/>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aa7426b97a40aa">
              <w:r>
                <w:rPr>
                  <w:rStyle w:val="Hyperlink"/>
                </w:rPr>
                <w:t xml:space="preserve">KPIs for Australian Public Mental Health Services: PI 01 – Changes in mental health consumers' clinical outcomes, 2019 (Service level)</w:t>
              </w:r>
            </w:hyperlink>
          </w:p>
          <w:p>
            <w:pPr>
              <w:spacing w:before="0" w:after="0"/>
            </w:pPr>
            <w:r>
              <w:rPr>
                <w:rStyle w:val="row-content"/>
                <w:color w:val="244061"/>
              </w:rPr>
              <w:t xml:space="preserve">       </w:t>
            </w:r>
            <w:hyperlink w:history="true" r:id="R319cb3302a034ee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871c3543886d4bf1">
              <w:r>
                <w:rPr>
                  <w:rStyle w:val="Hyperlink"/>
                </w:rPr>
                <w:t xml:space="preserve">KPIs for Australian Public Mental Health Services: PI 01 – Change in mental health consumer's clinical outcomes, 2021– (Service level)</w:t>
              </w:r>
            </w:hyperlink>
          </w:p>
          <w:p>
            <w:pPr>
              <w:spacing w:before="0" w:after="0"/>
            </w:pPr>
            <w:r>
              <w:rPr>
                <w:rStyle w:val="row-content"/>
                <w:color w:val="244061"/>
              </w:rPr>
              <w:t xml:space="preserve">       </w:t>
            </w:r>
            <w:hyperlink w:history="true" r:id="R2353f2ed4dec4f96">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97703964231e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dc14547044a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03964231e4a76" /><Relationship Type="http://schemas.openxmlformats.org/officeDocument/2006/relationships/header" Target="/word/header1.xml" Id="R90538e27331e45e9" /><Relationship Type="http://schemas.openxmlformats.org/officeDocument/2006/relationships/settings" Target="/word/settings.xml" Id="R32f7c78e336047ed" /><Relationship Type="http://schemas.openxmlformats.org/officeDocument/2006/relationships/styles" Target="/word/styles.xml" Id="R0c695f97bd304ff8" /><Relationship Type="http://schemas.openxmlformats.org/officeDocument/2006/relationships/hyperlink" Target="https://meteor.aihw.gov.au/RegistrationAuthority/12" TargetMode="External" Id="Rb1f6e6edd35b401d" /><Relationship Type="http://schemas.openxmlformats.org/officeDocument/2006/relationships/numbering" Target="/word/numbering.xml" Id="Redb9c40159344d39" /><Relationship Type="http://schemas.openxmlformats.org/officeDocument/2006/relationships/hyperlink" Target="https://meteor.aihw.gov.au/content/720490" TargetMode="External" Id="Raf9dc4b84f94470c" /><Relationship Type="http://schemas.openxmlformats.org/officeDocument/2006/relationships/hyperlink" Target="https://meteor.aihw.gov.au/RegistrationAuthority/12" TargetMode="External" Id="R7d6a240558a442c6" /><Relationship Type="http://schemas.openxmlformats.org/officeDocument/2006/relationships/hyperlink" Target="https://meteor.aihw.gov.au/content/605545" TargetMode="External" Id="R4f388236704f4873" /><Relationship Type="http://schemas.openxmlformats.org/officeDocument/2006/relationships/hyperlink" Target="https://meteor.aihw.gov.au/content/605550" TargetMode="External" Id="R91db3787b5fc4ec3" /><Relationship Type="http://schemas.openxmlformats.org/officeDocument/2006/relationships/hyperlink" Target="https://meteor.aihw.gov.au/content/721196" TargetMode="External" Id="R91f76b447ebc4b93" /><Relationship Type="http://schemas.openxmlformats.org/officeDocument/2006/relationships/hyperlink" Target="https://meteor.aihw.gov.au/content/712080" TargetMode="External" Id="Ra9aa7426b97a40aa" /><Relationship Type="http://schemas.openxmlformats.org/officeDocument/2006/relationships/hyperlink" Target="https://meteor.aihw.gov.au/RegistrationAuthority/12" TargetMode="External" Id="R319cb3302a034ee2" /><Relationship Type="http://schemas.openxmlformats.org/officeDocument/2006/relationships/hyperlink" Target="https://meteor.aihw.gov.au/content/742458" TargetMode="External" Id="R871c3543886d4bf1" /><Relationship Type="http://schemas.openxmlformats.org/officeDocument/2006/relationships/hyperlink" Target="https://meteor.aihw.gov.au/RegistrationAuthority/12" TargetMode="External" Id="R2353f2ed4dec4f96" /></Relationships>
</file>

<file path=word/_rels/header1.xml.rels>&#65279;<?xml version="1.0" encoding="utf-8"?><Relationships xmlns="http://schemas.openxmlformats.org/package/2006/relationships"><Relationship Type="http://schemas.openxmlformats.org/officeDocument/2006/relationships/image" Target="/media/image.png" Id="R27cdc14547044a7c" /></Relationships>
</file>