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a70370e4df4d0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 – Average cost per community mental health treatment day,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 – Average cost per community mental health treatment day,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 Average cost per community mental health treatment day,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05603252844524">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the organisation’s ambulatory mental health care services.</w:t>
            </w:r>
          </w:p>
          <w:p>
            <w:pPr/>
            <w:r>
              <w:rPr>
                <w:rStyle w:val="row-content-rich-text"/>
                <w:b/>
              </w:rPr>
              <w:t xml:space="preserve">NOTE:</w:t>
            </w:r>
            <w:r>
              <w:rPr>
                <w:rStyle w:val="row-content-rich-text"/>
              </w:rPr>
              <w:t xml:space="preserve"> This indicator is related to </w:t>
            </w:r>
            <w:r>
              <w:rPr>
                <w:rStyle w:val="row-content-rich-text"/>
                <w:i/>
              </w:rPr>
              <w:t xml:space="preserve">Average cost per community mental health treatment day (Jurisdictional level)</w:t>
            </w:r>
            <w:r>
              <w:rPr>
                <w:rStyle w:val="row-content-rich-text"/>
              </w:rPr>
              <w:t xml:space="preserve">.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A nationally agreed definition of treatment episodes in the community has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27acef49d94345">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6861ceab54e749a1">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ambulatory mental health care services.</w:t>
            </w:r>
          </w:p>
          <w:p>
            <w:pPr>
              <w:spacing w:after="160"/>
            </w:pPr>
            <w:r>
              <w:rPr>
                <w:rStyle w:val="row-content-rich-text"/>
              </w:rPr>
              <w:t xml:space="preserve">Methodology:</w:t>
            </w:r>
          </w:p>
          <w:p>
            <w:pPr/>
            <w:r>
              <w:rPr>
                <w:rStyle w:val="row-content-rich-text"/>
              </w:rPr>
              <w:t xml:space="preserve">Recurrent costs include costs directly attributable to the community treatment day plus a proportional share of overhead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of the mental health service organisation’s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treatment days provided by the organisation’s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365b200c334177">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2"/>
              </w:numPr>
            </w:pPr>
            <w:r>
              <w:rPr>
                <w:rStyle w:val="row-content-rich-text"/>
              </w:rPr>
              <w:t xml:space="preserve">service unit</w:t>
            </w:r>
          </w:p>
          <w:p>
            <w:pPr>
              <w:pStyle w:val="ListParagraph"/>
              <w:numPr>
                <w:ilvl w:val="0"/>
                <w:numId w:val="2"/>
              </w:numPr>
            </w:pPr>
            <w:r>
              <w:rPr>
                <w:rStyle w:val="row-content-rich-text"/>
              </w:rPr>
              <w:t xml:space="preserve">mental health service organisation</w:t>
            </w:r>
          </w:p>
          <w:p>
            <w:pPr>
              <w:pStyle w:val="ListParagraph"/>
              <w:numPr>
                <w:ilvl w:val="0"/>
                <w:numId w:val="2"/>
              </w:numPr>
            </w:pPr>
            <w:r>
              <w:rPr>
                <w:rStyle w:val="row-content-rich-text"/>
              </w:rPr>
              <w:t xml:space="preserve">regional group of services</w:t>
            </w:r>
          </w:p>
          <w:p>
            <w:pPr>
              <w:pStyle w:val="ListParagraph"/>
              <w:numPr>
                <w:ilvl w:val="0"/>
                <w:numId w:val="2"/>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a31f7a88b249dd">
              <w:r>
                <w:rPr>
                  <w:rStyle w:val="Hyperlink"/>
                </w:rPr>
                <w:t xml:space="preserve">KPIs for Australian Public Mental Health Services: PI 07 – Average cost per community mental health treatment day, 2019 (Service level)</w:t>
              </w:r>
            </w:hyperlink>
          </w:p>
          <w:p>
            <w:pPr>
              <w:spacing w:before="0" w:after="0"/>
            </w:pPr>
            <w:r>
              <w:rPr>
                <w:rStyle w:val="row-content"/>
                <w:color w:val="244061"/>
              </w:rPr>
              <w:t xml:space="preserve">       </w:t>
            </w:r>
            <w:hyperlink w:history="true" r:id="R9a079473c8494dae">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1a1291b4f5474857">
              <w:r>
                <w:rPr>
                  <w:rStyle w:val="Hyperlink"/>
                </w:rPr>
                <w:t xml:space="preserve">KPIs for Australian Public Mental Health Services: PI 07 – Average cost per community mental health treatment day, 2021– (Service level)</w:t>
              </w:r>
            </w:hyperlink>
          </w:p>
          <w:p>
            <w:pPr>
              <w:spacing w:before="0" w:after="0"/>
            </w:pPr>
            <w:r>
              <w:rPr>
                <w:rStyle w:val="row-content"/>
                <w:color w:val="244061"/>
              </w:rPr>
              <w:t xml:space="preserve">       </w:t>
            </w:r>
            <w:hyperlink w:history="true" r:id="R51aa13304cf34d46">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a55187abbeae44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f92f51181d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5187abbeae44d1" /><Relationship Type="http://schemas.openxmlformats.org/officeDocument/2006/relationships/header" Target="/word/header1.xml" Id="R2bb0ee1b0599472a" /><Relationship Type="http://schemas.openxmlformats.org/officeDocument/2006/relationships/settings" Target="/word/settings.xml" Id="R49ab9855dbc341f5" /><Relationship Type="http://schemas.openxmlformats.org/officeDocument/2006/relationships/styles" Target="/word/styles.xml" Id="R76f600abba08496c" /><Relationship Type="http://schemas.openxmlformats.org/officeDocument/2006/relationships/hyperlink" Target="https://meteor.aihw.gov.au/RegistrationAuthority/12" TargetMode="External" Id="Rb805603252844524" /><Relationship Type="http://schemas.openxmlformats.org/officeDocument/2006/relationships/hyperlink" Target="https://meteor.aihw.gov.au/content/720490" TargetMode="External" Id="R1f27acef49d94345" /><Relationship Type="http://schemas.openxmlformats.org/officeDocument/2006/relationships/hyperlink" Target="https://meteor.aihw.gov.au/RegistrationAuthority/12" TargetMode="External" Id="R6861ceab54e749a1" /><Relationship Type="http://schemas.openxmlformats.org/officeDocument/2006/relationships/hyperlink" Target="https://meteor.aihw.gov.au/content/721208" TargetMode="External" Id="R83365b200c334177" /><Relationship Type="http://schemas.openxmlformats.org/officeDocument/2006/relationships/numbering" Target="/word/numbering.xml" Id="Rf8696a6beb964ddb" /><Relationship Type="http://schemas.openxmlformats.org/officeDocument/2006/relationships/hyperlink" Target="https://meteor.aihw.gov.au/content/712074" TargetMode="External" Id="R92a31f7a88b249dd" /><Relationship Type="http://schemas.openxmlformats.org/officeDocument/2006/relationships/hyperlink" Target="https://meteor.aihw.gov.au/RegistrationAuthority/12" TargetMode="External" Id="R9a079473c8494dae" /><Relationship Type="http://schemas.openxmlformats.org/officeDocument/2006/relationships/hyperlink" Target="https://meteor.aihw.gov.au/content/742475" TargetMode="External" Id="R1a1291b4f5474857" /><Relationship Type="http://schemas.openxmlformats.org/officeDocument/2006/relationships/hyperlink" Target="https://meteor.aihw.gov.au/RegistrationAuthority/12" TargetMode="External" Id="R51aa13304cf34d46" /></Relationships>
</file>

<file path=word/_rels/header1.xml.rels>&#65279;<?xml version="1.0" encoding="utf-8"?><Relationships xmlns="http://schemas.openxmlformats.org/package/2006/relationships"><Relationship Type="http://schemas.openxmlformats.org/officeDocument/2006/relationships/image" Target="/media/image.png" Id="R82f92f51181d40c6" /></Relationships>
</file>