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4522fca810a4039" /></Relationships>
</file>

<file path=word/document.xml><?xml version="1.0" encoding="utf-8"?>
<w:document xmlns:r="http://schemas.openxmlformats.org/officeDocument/2006/relationships" xmlns:w="http://schemas.openxmlformats.org/wordprocessingml/2006/main">
  <w:body>
    <w:p>
      <w:pPr>
        <w:pStyle w:val="Title"/>
      </w:pPr>
      <w:r>
        <w:t>Number of potentially preventable hospitalisations - heart failure per 100,000 people, of all ages, 2014-15 to 2017-18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potentially preventable hospitalisations - heart failure per 100,000 people, of all ages, 2014-15 to 2017-18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Heart failure hospitalisations, 2014-15 to 2017-18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724516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8a2071802574ce1">
              <w:r>
                <w:rPr>
                  <w:rStyle w:val="Hyperlink"/>
                  <w:color w:val="244061"/>
                </w:rPr>
                <w:t xml:space="preserve">Australian Commission on Safety and Quality in Health Care</w:t>
              </w:r>
            </w:hyperlink>
            <w:r>
              <w:rPr>
                <w:rStyle w:val="row-content"/>
                <w:color w:val="244061"/>
              </w:rPr>
              <w:t xml:space="preserve">, Standard 27/04/2021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potentially preventable heart failure hospitalisations per 100,000 people, all ages, age and sex standardised.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67d29a0915742a0">
              <w:r>
                <w:rPr>
                  <w:rStyle w:val="Hyperlink"/>
                </w:rPr>
                <w:t xml:space="preserve">Australian Atlas of Healthcare Variation 2021</w:t>
              </w:r>
            </w:hyperlink>
          </w:p>
          <w:p>
            <w:pPr>
              <w:spacing w:before="0" w:after="0"/>
            </w:pPr>
            <w:r>
              <w:rPr>
                <w:rStyle w:val="row-content"/>
                <w:color w:val="244061"/>
              </w:rPr>
              <w:t xml:space="preserve">       </w:t>
            </w:r>
            <w:hyperlink w:history="true" r:id="Rd5c37c20861f4ce4">
              <w:r>
                <w:rPr>
                  <w:rStyle w:val="Hyperlink"/>
                  <w:color w:val="244061"/>
                </w:rPr>
                <w:t xml:space="preserve">Australian Commission on Safety and Quality in Health Care</w:t>
              </w:r>
            </w:hyperlink>
            <w:r>
              <w:rPr>
                <w:rStyle w:val="row-content"/>
                <w:color w:val="244061"/>
              </w:rPr>
              <w:t xml:space="preserve">, Standard 27/04/2021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1eab432152604c62">
              <w:r>
                <w:rPr>
                  <w:rStyle w:val="Hyperlink"/>
                </w:rPr>
                <w:t xml:space="preserve">National Healthcare Agreement: PI 18-Selected potentially preventable hospitalisations, 2018 QS</w:t>
              </w:r>
            </w:hyperlink>
          </w:p>
          <w:p>
            <w:pPr>
              <w:spacing w:before="0" w:after="0"/>
            </w:pPr>
            <w:r>
              <w:rPr>
                <w:rStyle w:val="row-content"/>
                <w:color w:val="244061"/>
              </w:rPr>
              <w:t xml:space="preserve">       </w:t>
            </w:r>
            <w:hyperlink w:history="true" r:id="Rcaebac755dc1403f">
              <w:r>
                <w:rPr>
                  <w:rStyle w:val="Hyperlink"/>
                  <w:color w:val="244061"/>
                </w:rPr>
                <w:t xml:space="preserve">Health</w:t>
              </w:r>
            </w:hyperlink>
            <w:r>
              <w:rPr>
                <w:rStyle w:val="row-content"/>
                <w:color w:val="244061"/>
              </w:rPr>
              <w:t xml:space="preserve">, Standard 30/01/2018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All 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Inclusion codes, description and additional requirements </w:t>
            </w:r>
          </w:p>
          <w:tbl>
            <w:tblPr>
              <w:tblStyle w:val="TableGrid"/>
              <w:tblW w:w="5000" w:type="pct"/>
              <w:tblLayout w:type="autofit"/>
            </w:tblPr>
            <w:tblGrid>
              <w:gridCol/>
              <w:gridCol/>
              <w:gridCol/>
            </w:tblGrid>
            <w:tr>
              <w:trPr/>
              <w:tc>
                <w:tcPr>
                  <w:tcW w:w="950" w:type="pct"/>
                  <w:vAlign w:val="top"/>
                </w:tcPr>
                <w:p>
                  <w:pPr/>
                  <w:r>
                    <w:rPr>
                      <w:rStyle w:val="row-content-rich-text"/>
                      <w:b/>
                    </w:rPr>
                    <w:t xml:space="preserve">ICD-10-AM (8th to 10th editions) diagnosis code</w:t>
                  </w:r>
                </w:p>
              </w:tc>
              <w:tc>
                <w:tcPr>
                  <w:tcW w:w="1650" w:type="pct"/>
                  <w:vAlign w:val="top"/>
                </w:tcPr>
                <w:p>
                  <w:r>
                    <w:rPr>
                      <w:b/>
                    </w:rPr>
                    <w:t xml:space="preserve">Description</w:t>
                  </w:r>
                </w:p>
              </w:tc>
              <w:tc>
                <w:tcPr>
                  <w:tcW w:w="2300" w:type="pct"/>
                  <w:vAlign w:val="top"/>
                </w:tcPr>
                <w:p>
                  <w:r>
                    <w:rPr>
                      <w:b/>
                    </w:rPr>
                    <w:t xml:space="preserve">Additional requirements</w:t>
                  </w:r>
                </w:p>
              </w:tc>
            </w:tr>
            <w:tr>
              <w:trPr/>
              <w:tc>
                <w:tcPr>
                  <w:tcW w:w="950" w:type="pct"/>
                  <w:vAlign w:val="top"/>
                </w:tcPr>
                <w:p>
                  <w:r>
                    <w:t xml:space="preserve">I50</w:t>
                  </w:r>
                </w:p>
              </w:tc>
              <w:tc>
                <w:tcPr>
                  <w:tcW w:w="1650" w:type="pct"/>
                  <w:vAlign w:val="top"/>
                </w:tcPr>
                <w:p>
                  <w:r>
                    <w:t xml:space="preserve">Heart failure</w:t>
                  </w:r>
                </w:p>
              </w:tc>
              <w:tc>
                <w:tcPr>
                  <w:tcW w:w="2300" w:type="pct"/>
                  <w:vAlign w:val="top"/>
                </w:tcPr>
                <w:p>
                  <w:r>
                    <w:t xml:space="preserve">As principal diagnosis</w:t>
                  </w:r>
                </w:p>
                <w:p>
                  <w:r>
                    <w:t xml:space="preserve">Include all codes from the three-character level</w:t>
                  </w:r>
                </w:p>
              </w:tc>
            </w:tr>
            <w:tr>
              <w:trPr/>
              <w:tc>
                <w:tcPr>
                  <w:tcW w:w="950" w:type="pct"/>
                  <w:vAlign w:val="top"/>
                </w:tcPr>
                <w:p>
                  <w:r>
                    <w:t xml:space="preserve">I11.0</w:t>
                  </w:r>
                </w:p>
              </w:tc>
              <w:tc>
                <w:tcPr>
                  <w:tcW w:w="1650" w:type="pct"/>
                  <w:vAlign w:val="top"/>
                </w:tcPr>
                <w:p>
                  <w:r>
                    <w:t xml:space="preserve">Hypertensive heart disease with (congestive) heart failure</w:t>
                  </w:r>
                </w:p>
              </w:tc>
              <w:tc>
                <w:tcPr>
                  <w:tcW w:w="2300" w:type="pct"/>
                  <w:vAlign w:val="top"/>
                </w:tcPr>
                <w:p>
                  <w:r>
                    <w:t xml:space="preserve">As principal diagnosis</w:t>
                  </w:r>
                </w:p>
              </w:tc>
            </w:tr>
            <w:tr>
              <w:trPr/>
              <w:tc>
                <w:tcPr>
                  <w:tcW w:w="950" w:type="pct"/>
                  <w:vAlign w:val="top"/>
                </w:tcPr>
                <w:p>
                  <w:r>
                    <w:t xml:space="preserve">J81</w:t>
                  </w:r>
                </w:p>
              </w:tc>
              <w:tc>
                <w:tcPr>
                  <w:tcW w:w="1650" w:type="pct"/>
                  <w:vAlign w:val="top"/>
                </w:tcPr>
                <w:p>
                  <w:r>
                    <w:t xml:space="preserve">Pulmonary oedema</w:t>
                  </w:r>
                </w:p>
              </w:tc>
              <w:tc>
                <w:tcPr>
                  <w:tcW w:w="2300" w:type="pct"/>
                  <w:vAlign w:val="top"/>
                </w:tcPr>
                <w:p>
                  <w:r>
                    <w:t xml:space="preserve">As principal diagnosis</w:t>
                  </w:r>
                </w:p>
              </w:tc>
            </w:tr>
          </w:tbl>
          <w:p>
            <w:r>
              <w:t xml:space="preserve"> </w:t>
            </w:r>
          </w:p>
          <w:p>
            <w:r>
              <w:rPr>
                <w:b/>
              </w:rPr>
              <w:t xml:space="preserve">Exclusion codes, desciption and additional requirements</w:t>
            </w:r>
          </w:p>
          <w:tbl>
            <w:tblPr>
              <w:tblStyle w:val="TableGrid"/>
              <w:tblW w:w="5000" w:type="pct"/>
              <w:tblLayout w:type="autofit"/>
            </w:tblPr>
            <w:tblGrid>
              <w:gridCol/>
              <w:gridCol/>
              <w:gridCol/>
            </w:tblGrid>
            <w:tr>
              <w:trPr/>
              <w:tc>
                <w:tcPr>
                  <w:tcW w:w="1250" w:type="pct"/>
                  <w:vAlign w:val="top"/>
                </w:tcPr>
                <w:p>
                  <w:r>
                    <w:rPr>
                      <w:b/>
                    </w:rPr>
                    <w:t xml:space="preserve">ACHI  (8th to 10th editions) procedure block/code</w:t>
                  </w:r>
                </w:p>
              </w:tc>
              <w:tc>
                <w:tcPr>
                  <w:tcW w:w="2500" w:type="pct"/>
                  <w:vAlign w:val="top"/>
                </w:tcPr>
                <w:p>
                  <w:r>
                    <w:rPr>
                      <w:b/>
                    </w:rPr>
                    <w:t xml:space="preserve">Description</w:t>
                  </w:r>
                </w:p>
              </w:tc>
              <w:tc>
                <w:tcPr>
                  <w:tcW w:w="1200" w:type="pct"/>
                  <w:vAlign w:val="top"/>
                </w:tcPr>
                <w:p>
                  <w:r>
                    <w:rPr>
                      <w:b/>
                    </w:rPr>
                    <w:t xml:space="preserve">Additional requirement</w:t>
                  </w:r>
                </w:p>
              </w:tc>
            </w:tr>
            <w:tr>
              <w:trPr/>
              <w:tc>
                <w:tcPr>
                  <w:tcW w:w="1250" w:type="pct"/>
                  <w:vAlign w:val="top"/>
                </w:tcPr>
                <w:p>
                  <w:r>
                    <w:t xml:space="preserve">[572] (10th edition only)</w:t>
                  </w:r>
                </w:p>
              </w:tc>
              <w:tc>
                <w:tcPr>
                  <w:tcW w:w="2500" w:type="pct"/>
                  <w:vAlign w:val="top"/>
                </w:tcPr>
                <w:p>
                  <w:r>
                    <w:t xml:space="preserve">Extracorporeal ventilatory support</w:t>
                  </w:r>
                </w:p>
              </w:tc>
              <w:tc>
                <w:tcPr>
                  <w:tcW w:w="1200" w:type="pct"/>
                  <w:vAlign w:val="top"/>
                </w:tcPr>
                <w:p>
                  <w:r>
                    <w:t xml:space="preserve">Any procedure</w:t>
                  </w:r>
                </w:p>
              </w:tc>
            </w:tr>
            <w:tr>
              <w:trPr/>
              <w:tc>
                <w:tcPr>
                  <w:tcW w:w="1250" w:type="pct"/>
                  <w:vAlign w:val="top"/>
                </w:tcPr>
                <w:p>
                  <w:r>
                    <w:t xml:space="preserve">[600]-[606]</w:t>
                  </w:r>
                </w:p>
              </w:tc>
              <w:tc>
                <w:tcPr>
                  <w:tcW w:w="2500" w:type="pct"/>
                  <w:vAlign w:val="top"/>
                </w:tcPr>
                <w:p>
                  <w:r>
                    <w:t xml:space="preserve">Heart - Atrium procedures</w:t>
                  </w:r>
                </w:p>
              </w:tc>
              <w:tc>
                <w:tcPr>
                  <w:tcW w:w="1200" w:type="pct"/>
                  <w:vAlign w:val="top"/>
                </w:tcPr>
                <w:p>
                  <w:r>
                    <w:t xml:space="preserve">Any procedure</w:t>
                  </w:r>
                </w:p>
              </w:tc>
            </w:tr>
            <w:tr>
              <w:trPr/>
              <w:tc>
                <w:tcPr>
                  <w:tcW w:w="1250" w:type="pct"/>
                  <w:vAlign w:val="top"/>
                </w:tcPr>
                <w:p>
                  <w:r>
                    <w:t xml:space="preserve">[608]-[650]</w:t>
                  </w:r>
                </w:p>
              </w:tc>
              <w:tc>
                <w:tcPr>
                  <w:tcW w:w="2500" w:type="pct"/>
                  <w:vAlign w:val="top"/>
                </w:tcPr>
                <w:p>
                  <w:r>
                    <w:t xml:space="preserve">Heart - Ventricle, septum, aortic valve, mitral valve, tricuspid valve, pulmonary valve, myocardium, pericardium, other sites procedures</w:t>
                  </w:r>
                </w:p>
              </w:tc>
              <w:tc>
                <w:tcPr>
                  <w:tcW w:w="1200" w:type="pct"/>
                  <w:vAlign w:val="top"/>
                </w:tcPr>
                <w:p>
                  <w:r>
                    <w:t xml:space="preserve">Any procedure</w:t>
                  </w:r>
                </w:p>
              </w:tc>
            </w:tr>
            <w:tr>
              <w:trPr/>
              <w:tc>
                <w:tcPr>
                  <w:tcW w:w="1250" w:type="pct"/>
                  <w:vAlign w:val="top"/>
                </w:tcPr>
                <w:p>
                  <w:r>
                    <w:t xml:space="preserve">[653]-[656]</w:t>
                  </w:r>
                </w:p>
              </w:tc>
              <w:tc>
                <w:tcPr>
                  <w:tcW w:w="2500" w:type="pct"/>
                  <w:vAlign w:val="top"/>
                </w:tcPr>
                <w:p>
                  <w:r>
                    <w:t xml:space="preserve">Insertion, adjustment, replacement or removal of cardiac pacemaker or defibrillator</w:t>
                  </w:r>
                </w:p>
              </w:tc>
              <w:tc>
                <w:tcPr>
                  <w:tcW w:w="1200" w:type="pct"/>
                  <w:vAlign w:val="top"/>
                </w:tcPr>
                <w:p>
                  <w:r>
                    <w:t xml:space="preserve">Any procedure</w:t>
                  </w:r>
                </w:p>
              </w:tc>
            </w:tr>
            <w:tr>
              <w:trPr/>
              <w:tc>
                <w:tcPr>
                  <w:tcW w:w="1250" w:type="pct"/>
                  <w:vAlign w:val="top"/>
                </w:tcPr>
                <w:p>
                  <w:r>
                    <w:t xml:space="preserve">[657]</w:t>
                  </w:r>
                </w:p>
              </w:tc>
              <w:tc>
                <w:tcPr>
                  <w:tcW w:w="2500" w:type="pct"/>
                  <w:vAlign w:val="top"/>
                </w:tcPr>
                <w:p>
                  <w:r>
                    <w:t xml:space="preserve">Other application, insertion or removal procedures on other sites of heart</w:t>
                  </w:r>
                </w:p>
              </w:tc>
              <w:tc>
                <w:tcPr>
                  <w:tcW w:w="1200" w:type="pct"/>
                  <w:vAlign w:val="top"/>
                </w:tcPr>
                <w:p>
                  <w:r>
                    <w:t xml:space="preserve">Any procedure</w:t>
                  </w:r>
                </w:p>
              </w:tc>
            </w:tr>
            <w:tr>
              <w:trPr/>
              <w:tc>
                <w:tcPr>
                  <w:tcW w:w="1250" w:type="pct"/>
                  <w:vAlign w:val="top"/>
                </w:tcPr>
                <w:p>
                  <w:r>
                    <w:t xml:space="preserve">[660]-[664], [666]</w:t>
                  </w:r>
                </w:p>
              </w:tc>
              <w:tc>
                <w:tcPr>
                  <w:tcW w:w="2500" w:type="pct"/>
                  <w:vAlign w:val="top"/>
                </w:tcPr>
                <w:p>
                  <w:r>
                    <w:t xml:space="preserve">Transplantation of heart or lung, other repair, reconstruction, revision or reoperation procedures on other sites of the heart</w:t>
                  </w:r>
                </w:p>
              </w:tc>
              <w:tc>
                <w:tcPr>
                  <w:tcW w:w="1200" w:type="pct"/>
                  <w:vAlign w:val="top"/>
                </w:tcPr>
                <w:p>
                  <w:r>
                    <w:t xml:space="preserve">Any procedure</w:t>
                  </w:r>
                </w:p>
              </w:tc>
            </w:tr>
            <w:tr>
              <w:trPr/>
              <w:tc>
                <w:tcPr>
                  <w:tcW w:w="1250" w:type="pct"/>
                  <w:vAlign w:val="top"/>
                </w:tcPr>
                <w:p>
                  <w:r>
                    <w:t xml:space="preserve">[669]-[681]</w:t>
                  </w:r>
                </w:p>
              </w:tc>
              <w:tc>
                <w:tcPr>
                  <w:tcW w:w="2500" w:type="pct"/>
                  <w:vAlign w:val="top"/>
                </w:tcPr>
                <w:p>
                  <w:r>
                    <w:t xml:space="preserve">Excision, angioplasty, bypass or reoperation procedures on coronary arteries</w:t>
                  </w:r>
                </w:p>
              </w:tc>
              <w:tc>
                <w:tcPr>
                  <w:tcW w:w="1200" w:type="pct"/>
                  <w:vAlign w:val="top"/>
                </w:tcPr>
                <w:p>
                  <w:r>
                    <w:t xml:space="preserve">Any procedure</w:t>
                  </w:r>
                </w:p>
              </w:tc>
            </w:tr>
            <w:tr>
              <w:trPr/>
              <w:tc>
                <w:tcPr>
                  <w:tcW w:w="1250" w:type="pct"/>
                  <w:vAlign w:val="top"/>
                </w:tcPr>
                <w:p>
                  <w:r>
                    <w:t xml:space="preserve">[682]</w:t>
                  </w:r>
                </w:p>
              </w:tc>
              <w:tc>
                <w:tcPr>
                  <w:tcW w:w="2500" w:type="pct"/>
                  <w:vAlign w:val="top"/>
                </w:tcPr>
                <w:p>
                  <w:r>
                    <w:t xml:space="preserve">Application, insertion or removal procedures on aorta</w:t>
                  </w:r>
                </w:p>
              </w:tc>
              <w:tc>
                <w:tcPr>
                  <w:tcW w:w="1200" w:type="pct"/>
                  <w:vAlign w:val="top"/>
                </w:tcPr>
                <w:p>
                  <w:r>
                    <w:t xml:space="preserve">Any procedure</w:t>
                  </w:r>
                </w:p>
              </w:tc>
            </w:tr>
            <w:tr>
              <w:trPr/>
              <w:tc>
                <w:tcPr>
                  <w:tcW w:w="1250" w:type="pct"/>
                  <w:vAlign w:val="top"/>
                </w:tcPr>
                <w:p>
                  <w:r>
                    <w:t xml:space="preserve">[684]-[691], [693]</w:t>
                  </w:r>
                </w:p>
              </w:tc>
              <w:tc>
                <w:tcPr>
                  <w:tcW w:w="2500" w:type="pct"/>
                  <w:vAlign w:val="top"/>
                </w:tcPr>
                <w:p>
                  <w:r>
                    <w:t xml:space="preserve">Repair procedures on aorta</w:t>
                  </w:r>
                </w:p>
              </w:tc>
              <w:tc>
                <w:tcPr>
                  <w:tcW w:w="1200" w:type="pct"/>
                  <w:vAlign w:val="top"/>
                </w:tcPr>
                <w:p>
                  <w:r>
                    <w:t xml:space="preserve">Any procedure</w:t>
                  </w:r>
                </w:p>
              </w:tc>
            </w:tr>
            <w:tr>
              <w:trPr/>
              <w:tc>
                <w:tcPr>
                  <w:tcW w:w="1250" w:type="pct"/>
                  <w:vAlign w:val="top"/>
                </w:tcPr>
                <w:p>
                  <w:r>
                    <w:t xml:space="preserve">[705]-[707]</w:t>
                  </w:r>
                </w:p>
              </w:tc>
              <w:tc>
                <w:tcPr>
                  <w:tcW w:w="2500" w:type="pct"/>
                  <w:vAlign w:val="top"/>
                </w:tcPr>
                <w:p>
                  <w:r>
                    <w:t xml:space="preserve">Resection of lesion of carotid artery and patch graft of artery</w:t>
                  </w:r>
                </w:p>
              </w:tc>
              <w:tc>
                <w:tcPr>
                  <w:tcW w:w="1200" w:type="pct"/>
                  <w:vAlign w:val="top"/>
                </w:tcPr>
                <w:p>
                  <w:r>
                    <w:t xml:space="preserve">Any procedure</w:t>
                  </w:r>
                </w:p>
              </w:tc>
            </w:tr>
            <w:tr>
              <w:trPr/>
              <w:tc>
                <w:tcPr>
                  <w:tcW w:w="1250" w:type="pct"/>
                  <w:vAlign w:val="top"/>
                </w:tcPr>
                <w:p>
                  <w:r>
                    <w:t xml:space="preserve">[717]</w:t>
                  </w:r>
                </w:p>
              </w:tc>
              <w:tc>
                <w:tcPr>
                  <w:tcW w:w="2500" w:type="pct"/>
                  <w:vAlign w:val="top"/>
                </w:tcPr>
                <w:p>
                  <w:r>
                    <w:t xml:space="preserve">Repair procedures on pulmonary artery for congenital heart disease</w:t>
                  </w:r>
                </w:p>
              </w:tc>
              <w:tc>
                <w:tcPr>
                  <w:tcW w:w="1200" w:type="pct"/>
                  <w:vAlign w:val="top"/>
                </w:tcPr>
                <w:p>
                  <w:r>
                    <w:t xml:space="preserve">Any procedure</w:t>
                  </w:r>
                </w:p>
              </w:tc>
            </w:tr>
            <w:tr>
              <w:trPr/>
              <w:tc>
                <w:tcPr>
                  <w:tcW w:w="1250" w:type="pct"/>
                  <w:vAlign w:val="top"/>
                </w:tcPr>
                <w:p>
                  <w:r>
                    <w:t xml:space="preserve">33172-00 [715]</w:t>
                  </w:r>
                </w:p>
              </w:tc>
              <w:tc>
                <w:tcPr>
                  <w:tcW w:w="2500" w:type="pct"/>
                  <w:vAlign w:val="top"/>
                </w:tcPr>
                <w:p>
                  <w:r>
                    <w:t xml:space="preserve">Replacement of other major artery aneurysm with graft</w:t>
                  </w:r>
                </w:p>
              </w:tc>
              <w:tc>
                <w:tcPr>
                  <w:tcW w:w="1200" w:type="pct"/>
                  <w:vAlign w:val="top"/>
                </w:tcPr>
                <w:p>
                  <w:r>
                    <w:t xml:space="preserve">Any procedure</w:t>
                  </w:r>
                </w:p>
              </w:tc>
            </w:tr>
            <w:tr>
              <w:trPr/>
              <w:tc>
                <w:tcPr>
                  <w:tcW w:w="1250" w:type="pct"/>
                  <w:vAlign w:val="top"/>
                </w:tcPr>
                <w:p>
                  <w:r>
                    <w:t xml:space="preserve">33827-01 [733]</w:t>
                  </w:r>
                </w:p>
              </w:tc>
              <w:tc>
                <w:tcPr>
                  <w:tcW w:w="2500" w:type="pct"/>
                  <w:vAlign w:val="top"/>
                </w:tcPr>
                <w:p>
                  <w:r>
                    <w:t xml:space="preserve">Repair of jugular vein by direct anastomosis</w:t>
                  </w:r>
                </w:p>
              </w:tc>
              <w:tc>
                <w:tcPr>
                  <w:tcW w:w="1200" w:type="pct"/>
                  <w:vAlign w:val="top"/>
                </w:tcPr>
                <w:p>
                  <w:r>
                    <w:t xml:space="preserve">Any procedure</w:t>
                  </w:r>
                </w:p>
              </w:tc>
            </w:tr>
            <w:tr>
              <w:trPr/>
              <w:tc>
                <w:tcPr>
                  <w:tcW w:w="1250" w:type="pct"/>
                  <w:vAlign w:val="top"/>
                </w:tcPr>
                <w:p>
                  <w:r>
                    <w:t xml:space="preserve">34800-00 [726]</w:t>
                  </w:r>
                </w:p>
              </w:tc>
              <w:tc>
                <w:tcPr>
                  <w:tcW w:w="2500" w:type="pct"/>
                  <w:vAlign w:val="top"/>
                </w:tcPr>
                <w:p>
                  <w:r>
                    <w:t xml:space="preserve">Interruption of vena cava</w:t>
                  </w:r>
                </w:p>
              </w:tc>
              <w:tc>
                <w:tcPr>
                  <w:tcW w:w="1200" w:type="pct"/>
                  <w:vAlign w:val="top"/>
                </w:tcPr>
                <w:p>
                  <w:r>
                    <w:t xml:space="preserve">Any procedure</w:t>
                  </w:r>
                </w:p>
              </w:tc>
            </w:tr>
            <w:tr>
              <w:trPr/>
              <w:tc>
                <w:tcPr>
                  <w:tcW w:w="1250" w:type="pct"/>
                  <w:vAlign w:val="top"/>
                </w:tcPr>
                <w:p>
                  <w:r>
                    <w:t xml:space="preserve">35412-00 [11]</w:t>
                  </w:r>
                </w:p>
              </w:tc>
              <w:tc>
                <w:tcPr>
                  <w:tcW w:w="2500" w:type="pct"/>
                  <w:vAlign w:val="top"/>
                </w:tcPr>
                <w:p>
                  <w:r>
                    <w:t xml:space="preserve">Endovascular occlusion of cerebral aneurysm or arteriovenous malformation</w:t>
                  </w:r>
                </w:p>
              </w:tc>
              <w:tc>
                <w:tcPr>
                  <w:tcW w:w="1200" w:type="pct"/>
                  <w:vAlign w:val="top"/>
                </w:tcPr>
                <w:p>
                  <w:r>
                    <w:t xml:space="preserve">Any procedure</w:t>
                  </w:r>
                </w:p>
              </w:tc>
            </w:tr>
            <w:tr>
              <w:trPr/>
              <w:tc>
                <w:tcPr>
                  <w:tcW w:w="1250" w:type="pct"/>
                  <w:vAlign w:val="top"/>
                </w:tcPr>
                <w:p>
                  <w:r>
                    <w:t xml:space="preserve">38721-01 [733]</w:t>
                  </w:r>
                </w:p>
              </w:tc>
              <w:tc>
                <w:tcPr>
                  <w:tcW w:w="2500" w:type="pct"/>
                  <w:vAlign w:val="top"/>
                </w:tcPr>
                <w:p>
                  <w:r>
                    <w:t xml:space="preserve">Repair of vena cava by direct anastomosis</w:t>
                  </w:r>
                </w:p>
              </w:tc>
              <w:tc>
                <w:tcPr>
                  <w:tcW w:w="1200" w:type="pct"/>
                  <w:vAlign w:val="top"/>
                </w:tcPr>
                <w:p>
                  <w:r>
                    <w:t xml:space="preserve">Any procedure</w:t>
                  </w:r>
                </w:p>
              </w:tc>
            </w:tr>
            <w:tr>
              <w:trPr/>
              <w:tc>
                <w:tcPr>
                  <w:tcW w:w="1250" w:type="pct"/>
                  <w:vAlign w:val="top"/>
                </w:tcPr>
                <w:p>
                  <w:r>
                    <w:t xml:space="preserve">90217-02 [734]</w:t>
                  </w:r>
                </w:p>
              </w:tc>
              <w:tc>
                <w:tcPr>
                  <w:tcW w:w="2500" w:type="pct"/>
                  <w:vAlign w:val="top"/>
                </w:tcPr>
                <w:p>
                  <w:r>
                    <w:t xml:space="preserve">Repair of vena cava by interposition graft</w:t>
                  </w:r>
                </w:p>
              </w:tc>
              <w:tc>
                <w:tcPr>
                  <w:tcW w:w="1200" w:type="pct"/>
                  <w:vAlign w:val="top"/>
                </w:tcPr>
                <w:p>
                  <w:r>
                    <w:t xml:space="preserve">Any procedure</w:t>
                  </w:r>
                </w:p>
              </w:tc>
            </w:tr>
            <w:tr>
              <w:trPr/>
              <w:tc>
                <w:tcPr>
                  <w:tcW w:w="1250" w:type="pct"/>
                  <w:vAlign w:val="top"/>
                </w:tcPr>
                <w:p>
                  <w:r>
                    <w:t xml:space="preserve">90215-02 [732]</w:t>
                  </w:r>
                </w:p>
              </w:tc>
              <w:tc>
                <w:tcPr>
                  <w:tcW w:w="2500" w:type="pct"/>
                  <w:vAlign w:val="top"/>
                </w:tcPr>
                <w:p>
                  <w:r>
                    <w:t xml:space="preserve">Direct closure of vena cava</w:t>
                  </w:r>
                </w:p>
              </w:tc>
              <w:tc>
                <w:tcPr>
                  <w:tcW w:w="1200" w:type="pct"/>
                  <w:vAlign w:val="top"/>
                </w:tcPr>
                <w:p>
                  <w:r>
                    <w:t xml:space="preserve">Any procedure</w:t>
                  </w:r>
                </w:p>
              </w:tc>
            </w:tr>
          </w:tbl>
          <w:p>
            <w:r>
              <w:t xml:space="preserve"> </w:t>
            </w:r>
          </w:p>
          <w:p>
            <w:r>
              <w:rPr>
                <w:b/>
              </w:rPr>
              <w:t xml:space="preserve">Exclusion codes and description</w:t>
            </w:r>
          </w:p>
          <w:tbl>
            <w:tblPr>
              <w:tblStyle w:val="TableGrid"/>
              <w:tblW w:w="5000" w:type="pct"/>
              <w:tblLayout w:type="autofit"/>
            </w:tblPr>
            <w:tblGrid>
              <w:gridCol/>
              <w:gridCol/>
            </w:tblGrid>
            <w:tr>
              <w:trPr/>
              <w:tc>
                <w:tcPr>
                  <w:tcW w:w="1000" w:type="pct"/>
                  <w:vAlign w:val="top"/>
                </w:tcPr>
                <w:p>
                  <w:r>
                    <w:rPr>
                      <w:b/>
                    </w:rPr>
                    <w:t xml:space="preserve">Care type</w:t>
                  </w:r>
                </w:p>
              </w:tc>
              <w:tc>
                <w:tcPr>
                  <w:tcW w:w="4000" w:type="pct"/>
                  <w:vAlign w:val="top"/>
                </w:tcPr>
                <w:p>
                  <w:r>
                    <w:rPr>
                      <w:b/>
                    </w:rPr>
                    <w:t xml:space="preserve">Description</w:t>
                  </w:r>
                </w:p>
              </w:tc>
            </w:tr>
            <w:tr>
              <w:trPr/>
              <w:tc>
                <w:tcPr>
                  <w:tcW w:w="1000" w:type="pct"/>
                  <w:vAlign w:val="top"/>
                </w:tcPr>
                <w:p>
                  <w:r>
                    <w:t xml:space="preserve">7.3</w:t>
                  </w:r>
                </w:p>
              </w:tc>
              <w:tc>
                <w:tcPr>
                  <w:tcW w:w="4000" w:type="pct"/>
                  <w:vAlign w:val="top"/>
                </w:tcPr>
                <w:p>
                  <w:r>
                    <w:t xml:space="preserve">Newborn—unqualified days only</w:t>
                  </w:r>
                </w:p>
              </w:tc>
            </w:tr>
            <w:tr>
              <w:trPr/>
              <w:tc>
                <w:tcPr>
                  <w:tcW w:w="1000" w:type="pct"/>
                  <w:vAlign w:val="top"/>
                </w:tcPr>
                <w:p>
                  <w:r>
                    <w:t xml:space="preserve">9.0</w:t>
                  </w:r>
                </w:p>
              </w:tc>
              <w:tc>
                <w:tcPr>
                  <w:tcW w:w="4000" w:type="pct"/>
                  <w:vAlign w:val="top"/>
                </w:tcPr>
                <w:p>
                  <w:r>
                    <w:t xml:space="preserve">Organ procurement—posthumous</w:t>
                  </w:r>
                </w:p>
              </w:tc>
            </w:tr>
            <w:tr>
              <w:trPr/>
              <w:tc>
                <w:tcPr>
                  <w:tcW w:w="1000" w:type="pct"/>
                  <w:vAlign w:val="top"/>
                </w:tcPr>
                <w:p>
                  <w:r>
                    <w:t xml:space="preserve">10.0</w:t>
                  </w:r>
                </w:p>
              </w:tc>
              <w:tc>
                <w:tcPr>
                  <w:tcW w:w="4000" w:type="pct"/>
                  <w:vAlign w:val="top"/>
                </w:tcPr>
                <w:p>
                  <w:r>
                    <w:t xml:space="preserve">Hospital boarder</w:t>
                  </w:r>
                </w:p>
              </w:tc>
            </w:tr>
          </w:tbl>
          <w:p>
            <w:r>
              <w:t xml:space="preserve"> </w:t>
            </w:r>
          </w:p>
          <w:p>
            <w:r>
              <w:t xml:space="preserve">Presented as a number of hospitalisations per 100,000 people.</w:t>
            </w:r>
          </w:p>
          <w:p>
            <w:r>
              <w:t xml:space="preserve">Rates  are directly age- and sex- standardised, to the 30 June 2001 Australian population, using 5-year age groups: 0-4, 5-9, … , 80-84, 85 and over.</w:t>
            </w:r>
          </w:p>
          <w:p>
            <w:r>
              <w:t xml:space="preserve">Indigenous and other Australian rates are directly age and sex standardised, to the 30 June 2001 Australian population, using 5-year age groups: 0-4, 5-9, … , 60–64, 65 and over.</w:t>
            </w:r>
          </w:p>
          <w:p>
            <w:r>
              <w:t xml:space="preserve">Population estimates at 31 December are calculated as an average of the 30 June population estimates before and after the relevant December to derive a midpoint (31 December) population estimate.</w:t>
            </w:r>
          </w:p>
          <w:p>
            <w:r>
              <w:t xml:space="preserve">For more information about age-standardisation in general see glossary item </w:t>
            </w:r>
            <w:hyperlink w:tooltip="A method of adjusting the crude rate to eliminate the effect of differences in population age structures when comparing crude rates for different periods of time, different geographic areas and/or different population sub-groups (e.g. between one year ..." w:history="true" r:id="R961bfdfdac294f6b">
              <w:r>
                <w:rPr>
                  <w:rStyle w:val="Hyperlink"/>
                  <w:b/>
                </w:rPr>
                <w:t xml:space="preserve">Age-standardised rate.</w:t>
              </w:r>
            </w:hyperlink>
            <w:r>
              <w:rPr>
                <w:b/>
              </w:rPr>
              <w:t xml:space="preserve"> </w:t>
            </w:r>
          </w:p>
          <w:p>
            <w:r>
              <w:t xml:space="preserve">Analysis by Statistical Area Level 3 (SA3) 2016 is based on:</w:t>
            </w:r>
          </w:p>
          <w:p>
            <w:pPr>
              <w:pStyle w:val="ListParagraph"/>
              <w:numPr>
                <w:ilvl w:val="0"/>
                <w:numId w:val="2"/>
              </w:numPr>
            </w:pPr>
            <w:r>
              <w:t xml:space="preserve">Statistical Area Level 2 (SA2) 2011 of usual residence of the patient for 2014-15 to 2016-17, converted to SA3 (ASGS 2016) equivalents through an ABS concordance file</w:t>
            </w:r>
          </w:p>
          <w:p>
            <w:pPr>
              <w:pStyle w:val="ListParagraph"/>
              <w:numPr>
                <w:ilvl w:val="0"/>
                <w:numId w:val="2"/>
              </w:numPr>
            </w:pPr>
            <w:r>
              <w:t xml:space="preserve">SA2 2016 of usual residence of the patient for 2017-18. </w:t>
            </w:r>
          </w:p>
          <w:p>
            <w:r>
              <w:t xml:space="preserve">Suppress data (number and rate) if at least one of the following conditions are met: </w:t>
            </w:r>
          </w:p>
          <w:p>
            <w:pPr>
              <w:pStyle w:val="ListParagraph"/>
              <w:numPr>
                <w:ilvl w:val="0"/>
                <w:numId w:val="3"/>
              </w:numPr>
            </w:pPr>
            <w:r>
              <w:t xml:space="preserve">the total denominator is less than 1,000</w:t>
            </w:r>
          </w:p>
          <w:p>
            <w:pPr>
              <w:pStyle w:val="ListParagraph"/>
              <w:numPr>
                <w:ilvl w:val="0"/>
                <w:numId w:val="3"/>
              </w:numPr>
            </w:pPr>
            <w:r>
              <w:t xml:space="preserve">the total numberator is less than 20</w:t>
            </w:r>
          </w:p>
          <w:p>
            <w:r>
              <w:t xml:space="preserve">Age and sex standardised rates are also suppressed where the denominator for at least one of the age and sex groups used to calculate the rate is below 30 and results of sensitivity analysis indicate that the rates are volatile. However, for SA3 data, if the volatilityof the rate is not found to have a material impact on its decile, the rate is published with caution. For more information about the sensitivity analysis, see the </w:t>
            </w:r>
            <w:hyperlink w:history="true" r:id="R09470ea801e34657">
              <w:r>
                <w:rPr>
                  <w:rStyle w:val="Hyperlink"/>
                </w:rPr>
                <w:t xml:space="preserve">Technical supplement of the Fourth Atlas</w:t>
              </w:r>
            </w:hyperlink>
            <w:r>
              <w:t xml:space="preserve">.</w:t>
            </w:r>
          </w:p>
          <w:p>
            <w:r>
              <w:t xml:space="preserve">Consequential suppression may be applied to preserve confidentialised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heart failure hospitalisations, 2014-15 to 2017-18</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0b671174def4beb">
              <w:r>
                <w:rPr>
                  <w:rStyle w:val="Hyperlink"/>
                </w:rPr>
                <w:t xml:space="preserve">Episode of admitted patient care—admission date, DDMMYYYY</w:t>
              </w:r>
            </w:hyperlink>
          </w:p>
          <w:p>
            <w:r>
              <w:rPr>
                <w:rStyle w:val="row-content"/>
                <w:b/>
              </w:rPr>
              <w:t xml:space="preserve">Data Source</w:t>
            </w:r>
          </w:p>
          <w:p>
            <w:hyperlink w:history="true" r:id="Rb5539d9d71b24c07">
              <w:r>
                <w:rPr>
                  <w:rStyle w:val="Hyperlink"/>
                </w:rPr>
                <w:t xml:space="preserve">National Hospital Morbidity Database (NHMD)</w:t>
              </w:r>
            </w:hyperlink>
          </w:p>
          <w:p>
            <w:r>
              <w:rPr>
                <w:rStyle w:val="row-content"/>
                <w:b/>
              </w:rPr>
              <w:t xml:space="preserve">Guide for use</w:t>
            </w:r>
          </w:p>
          <w:p>
            <w:r>
              <w:rPr>
                <w:rStyle w:val="row-content"/>
              </w:rPr>
              <w:t xml:space="preserve"> </w:t>
            </w:r>
          </w:p>
          <w:p>
            <w:r>
              <w:rPr>
                <w:rStyle w:val="row-content"/>
              </w:rPr>
              <w:t xml:space="preserve">Admitted patient care NMDS 2014-15 to 2017-18</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db7fe1b7f6c428e">
              <w:r>
                <w:rPr>
                  <w:rStyle w:val="Hyperlink"/>
                </w:rPr>
                <w:t xml:space="preserve">Episode of care—principal diagnosis, code (ICD-10-AM 10th edn) ANN{.N[N]}</w:t>
              </w:r>
            </w:hyperlink>
          </w:p>
          <w:p>
            <w:r>
              <w:rPr>
                <w:rStyle w:val="row-content"/>
                <w:b/>
              </w:rPr>
              <w:t xml:space="preserve">Data Source</w:t>
            </w:r>
          </w:p>
          <w:p>
            <w:hyperlink w:history="true" r:id="R2cfa793957884e8d">
              <w:r>
                <w:rPr>
                  <w:rStyle w:val="Hyperlink"/>
                </w:rPr>
                <w:t xml:space="preserve">National Hospital Morbidity Database (NHMD)</w:t>
              </w:r>
            </w:hyperlink>
          </w:p>
          <w:p>
            <w:r>
              <w:rPr>
                <w:rStyle w:val="row-content"/>
                <w:b/>
              </w:rPr>
              <w:t xml:space="preserve">NMDS / DSS</w:t>
            </w:r>
          </w:p>
          <w:p>
            <w:hyperlink w:history="true" r:id="R10624d366be3475e">
              <w:r>
                <w:rPr>
                  <w:rStyle w:val="Hyperlink"/>
                </w:rPr>
                <w:t xml:space="preserve">Admitted patient care NMDS 2017-18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2af7adec43b47e0">
              <w:r>
                <w:rPr>
                  <w:rStyle w:val="Hyperlink"/>
                </w:rPr>
                <w:t xml:space="preserve">Episode of admitted patient care—procedure, code (ACHI 10th edn) NNNNN-NN</w:t>
              </w:r>
            </w:hyperlink>
          </w:p>
          <w:p>
            <w:r>
              <w:rPr>
                <w:rStyle w:val="row-content"/>
                <w:b/>
              </w:rPr>
              <w:t xml:space="preserve">Data Source</w:t>
            </w:r>
          </w:p>
          <w:p>
            <w:hyperlink w:history="true" r:id="Re33e89404a534b18">
              <w:r>
                <w:rPr>
                  <w:rStyle w:val="Hyperlink"/>
                </w:rPr>
                <w:t xml:space="preserve">National Hospital Morbidity Database (NHMD)</w:t>
              </w:r>
            </w:hyperlink>
          </w:p>
          <w:p>
            <w:r>
              <w:rPr>
                <w:rStyle w:val="row-content"/>
                <w:b/>
              </w:rPr>
              <w:t xml:space="preserve">NMDS / DSS</w:t>
            </w:r>
          </w:p>
          <w:p>
            <w:hyperlink w:history="true" r:id="R138c78c6ea2c4346">
              <w:r>
                <w:rPr>
                  <w:rStyle w:val="Hyperlink"/>
                </w:rPr>
                <w:t xml:space="preserve">Admitted patient care NMDS 2017-18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11fdbf94276490e">
              <w:r>
                <w:rPr>
                  <w:rStyle w:val="Hyperlink"/>
                </w:rPr>
                <w:t xml:space="preserve">Hospital service—care type, code N[N]</w:t>
              </w:r>
            </w:hyperlink>
          </w:p>
          <w:p>
            <w:r>
              <w:rPr>
                <w:rStyle w:val="row-content"/>
                <w:b/>
              </w:rPr>
              <w:t xml:space="preserve">Data Source</w:t>
            </w:r>
          </w:p>
          <w:p>
            <w:hyperlink w:history="true" r:id="Rcab41f74780b4fe3">
              <w:r>
                <w:rPr>
                  <w:rStyle w:val="Hyperlink"/>
                </w:rPr>
                <w:t xml:space="preserve">National Hospital Morbidity Database (NHMD)</w:t>
              </w:r>
            </w:hyperlink>
          </w:p>
          <w:p>
            <w:r>
              <w:rPr>
                <w:rStyle w:val="row-content"/>
                <w:b/>
              </w:rPr>
              <w:t xml:space="preserve">Guide for use</w:t>
            </w:r>
          </w:p>
          <w:p>
            <w:r>
              <w:rPr>
                <w:rStyle w:val="row-content"/>
              </w:rPr>
              <w:t xml:space="preserve"> </w:t>
            </w:r>
          </w:p>
          <w:p>
            <w:r>
              <w:rPr>
                <w:rStyle w:val="row-content"/>
              </w:rPr>
              <w:t xml:space="preserve">Admitted patient care NMDS 2014-15 to 2017-18</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f5f9a1552c546cd">
              <w:r>
                <w:rPr>
                  <w:rStyle w:val="Hyperlink"/>
                </w:rPr>
                <w:t xml:space="preserve">Person—date of birth, DDMMYYYY</w:t>
              </w:r>
            </w:hyperlink>
          </w:p>
          <w:p>
            <w:r>
              <w:rPr>
                <w:rStyle w:val="row-content"/>
                <w:b/>
              </w:rPr>
              <w:t xml:space="preserve">Data Source</w:t>
            </w:r>
          </w:p>
          <w:p>
            <w:hyperlink w:history="true" r:id="R320bea8f44704589">
              <w:r>
                <w:rPr>
                  <w:rStyle w:val="Hyperlink"/>
                </w:rPr>
                <w:t xml:space="preserve">National Hospital Morbidity Database (NHMD)</w:t>
              </w:r>
            </w:hyperlink>
          </w:p>
          <w:p>
            <w:r>
              <w:rPr>
                <w:rStyle w:val="row-content"/>
                <w:b/>
              </w:rPr>
              <w:t xml:space="preserve">Guide for use</w:t>
            </w:r>
          </w:p>
          <w:p>
            <w:r>
              <w:rPr>
                <w:rStyle w:val="row-content"/>
              </w:rPr>
              <w:t xml:space="preserve"> </w:t>
            </w:r>
          </w:p>
          <w:p>
            <w:r>
              <w:rPr>
                <w:rStyle w:val="row-content"/>
              </w:rPr>
              <w:t xml:space="preserve">Admitted patient care NMDS 2014-15 to 2017-18</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063e744b3b24315">
              <w:r>
                <w:rPr>
                  <w:rStyle w:val="Hyperlink"/>
                </w:rPr>
                <w:t xml:space="preserve">Episode of admitted patient care—procedure, code (ACHI 8th edn) NNNNN-NN</w:t>
              </w:r>
            </w:hyperlink>
          </w:p>
          <w:p>
            <w:r>
              <w:rPr>
                <w:rStyle w:val="row-content"/>
                <w:b/>
              </w:rPr>
              <w:t xml:space="preserve">Data Source</w:t>
            </w:r>
          </w:p>
          <w:p>
            <w:hyperlink w:history="true" r:id="R3331655014d846a4">
              <w:r>
                <w:rPr>
                  <w:rStyle w:val="Hyperlink"/>
                </w:rPr>
                <w:t xml:space="preserve">National Hospital Morbidity Database (NHMD)</w:t>
              </w:r>
            </w:hyperlink>
          </w:p>
          <w:p>
            <w:r>
              <w:rPr>
                <w:rStyle w:val="row-content"/>
                <w:b/>
              </w:rPr>
              <w:t xml:space="preserve">NMDS / DSS</w:t>
            </w:r>
          </w:p>
          <w:p>
            <w:hyperlink w:history="true" r:id="Re0b54546ccd04a6e">
              <w:r>
                <w:rPr>
                  <w:rStyle w:val="Hyperlink"/>
                </w:rPr>
                <w:t xml:space="preserve">Admitted patient care NMDS 2014-15</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329f8ebfb084bdd">
              <w:r>
                <w:rPr>
                  <w:rStyle w:val="Hyperlink"/>
                </w:rPr>
                <w:t xml:space="preserve">Episode of care—principal diagnosis, code (ICD-10-AM 8th edn) ANN{.N[N]}</w:t>
              </w:r>
            </w:hyperlink>
          </w:p>
          <w:p>
            <w:r>
              <w:rPr>
                <w:rStyle w:val="row-content"/>
                <w:b/>
              </w:rPr>
              <w:t xml:space="preserve">Data Source</w:t>
            </w:r>
          </w:p>
          <w:p>
            <w:hyperlink w:history="true" r:id="R6b9f5eb7d4c44a2d">
              <w:r>
                <w:rPr>
                  <w:rStyle w:val="Hyperlink"/>
                </w:rPr>
                <w:t xml:space="preserve">National Hospital Morbidity Database (NHMD)</w:t>
              </w:r>
            </w:hyperlink>
          </w:p>
          <w:p>
            <w:r>
              <w:rPr>
                <w:rStyle w:val="row-content"/>
                <w:b/>
              </w:rPr>
              <w:t xml:space="preserve">NMDS / DSS</w:t>
            </w:r>
          </w:p>
          <w:p>
            <w:hyperlink w:history="true" r:id="Rb2268027252746e5">
              <w:r>
                <w:rPr>
                  <w:rStyle w:val="Hyperlink"/>
                </w:rPr>
                <w:t xml:space="preserve">Admitted patient care NMDS 2014-15</w:t>
              </w:r>
            </w:hyperlink>
          </w:p>
          <w:p>
            <w:r>
              <w:rPr>
                <w:rStyle w:val="row-content"/>
                <w:b/>
              </w:rPr>
              <w:t xml:space="preserve">Guide for use</w:t>
            </w:r>
          </w:p>
          <w:p>
            <w:r>
              <w:rPr>
                <w:rStyle w:val="row-content"/>
              </w:rPr>
              <w:t xml:space="preserve"> </w:t>
            </w:r>
          </w:p>
          <w:p>
            <w:r>
              <w:rPr>
                <w:rStyle w:val="row-content"/>
                <w:b/>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3a4e000927645db">
              <w:r>
                <w:rPr>
                  <w:rStyle w:val="Hyperlink"/>
                </w:rPr>
                <w:t xml:space="preserve">Episode of care—principal diagnosis, code (ICD-10-AM 9th edn) ANN{.N[N]}</w:t>
              </w:r>
            </w:hyperlink>
          </w:p>
          <w:p>
            <w:r>
              <w:rPr>
                <w:rStyle w:val="row-content"/>
                <w:b/>
              </w:rPr>
              <w:t xml:space="preserve">Data Source</w:t>
            </w:r>
          </w:p>
          <w:p>
            <w:hyperlink w:history="true" r:id="Rddd7c89e31614ccf">
              <w:r>
                <w:rPr>
                  <w:rStyle w:val="Hyperlink"/>
                </w:rPr>
                <w:t xml:space="preserve">National Hospital Morbidity Database (NHMD)</w:t>
              </w:r>
            </w:hyperlink>
          </w:p>
          <w:p>
            <w:r>
              <w:rPr>
                <w:rStyle w:val="row-content"/>
                <w:b/>
              </w:rPr>
              <w:t xml:space="preserve">NMDS / DSS</w:t>
            </w:r>
          </w:p>
          <w:p>
            <w:hyperlink w:history="true" r:id="R232a3a95c7f64746">
              <w:r>
                <w:rPr>
                  <w:rStyle w:val="Hyperlink"/>
                </w:rPr>
                <w:t xml:space="preserve">Admitted patient care NMDS 2015-16</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4d5d52011ee478b">
              <w:r>
                <w:rPr>
                  <w:rStyle w:val="Hyperlink"/>
                </w:rPr>
                <w:t xml:space="preserve">Episode of care—principal diagnosis, code (ICD-10-AM 9th edn) ANN{.N[N]}</w:t>
              </w:r>
            </w:hyperlink>
          </w:p>
          <w:p>
            <w:r>
              <w:rPr>
                <w:rStyle w:val="row-content"/>
                <w:b/>
              </w:rPr>
              <w:t xml:space="preserve">Data Source</w:t>
            </w:r>
          </w:p>
          <w:p>
            <w:hyperlink w:history="true" r:id="R096e8a1364304028">
              <w:r>
                <w:rPr>
                  <w:rStyle w:val="Hyperlink"/>
                </w:rPr>
                <w:t xml:space="preserve">National Hospital Morbidity Database (NHMD)</w:t>
              </w:r>
            </w:hyperlink>
          </w:p>
          <w:p>
            <w:r>
              <w:rPr>
                <w:rStyle w:val="row-content"/>
                <w:b/>
              </w:rPr>
              <w:t xml:space="preserve">NMDS / DSS</w:t>
            </w:r>
          </w:p>
          <w:p>
            <w:hyperlink w:history="true" r:id="R1ec7d0f629a647b2">
              <w:r>
                <w:rPr>
                  <w:rStyle w:val="Hyperlink"/>
                </w:rPr>
                <w:t xml:space="preserve">Admitted patient care NMDS 2016-17</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56c878a7ccb40e1">
              <w:r>
                <w:rPr>
                  <w:rStyle w:val="Hyperlink"/>
                </w:rPr>
                <w:t xml:space="preserve">Episode of admitted patient care—procedure, code (ACHI 9th edn) NNNNN-NN</w:t>
              </w:r>
            </w:hyperlink>
          </w:p>
          <w:p>
            <w:r>
              <w:rPr>
                <w:rStyle w:val="row-content"/>
                <w:b/>
              </w:rPr>
              <w:t xml:space="preserve">Data Source</w:t>
            </w:r>
          </w:p>
          <w:p>
            <w:hyperlink w:history="true" r:id="R9adc2b12bb6941ef">
              <w:r>
                <w:rPr>
                  <w:rStyle w:val="Hyperlink"/>
                </w:rPr>
                <w:t xml:space="preserve">National Hospital Morbidity Database (NHMD)</w:t>
              </w:r>
            </w:hyperlink>
          </w:p>
          <w:p>
            <w:r>
              <w:rPr>
                <w:rStyle w:val="row-content"/>
                <w:b/>
              </w:rPr>
              <w:t xml:space="preserve">NMDS / DSS</w:t>
            </w:r>
          </w:p>
          <w:p>
            <w:hyperlink w:history="true" r:id="R6d31f15755314345">
              <w:r>
                <w:rPr>
                  <w:rStyle w:val="Hyperlink"/>
                </w:rPr>
                <w:t xml:space="preserve">Admitted patient care NMDS 2015-16</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eab5c50fe354459">
              <w:r>
                <w:rPr>
                  <w:rStyle w:val="Hyperlink"/>
                </w:rPr>
                <w:t xml:space="preserve">Episode of admitted patient care—procedure, code (ACHI 9th edn) NNNNN-NN</w:t>
              </w:r>
            </w:hyperlink>
          </w:p>
          <w:p>
            <w:r>
              <w:rPr>
                <w:rStyle w:val="row-content"/>
                <w:b/>
              </w:rPr>
              <w:t xml:space="preserve">Data Source</w:t>
            </w:r>
          </w:p>
          <w:p>
            <w:hyperlink w:history="true" r:id="Ree801a64d0f74278">
              <w:r>
                <w:rPr>
                  <w:rStyle w:val="Hyperlink"/>
                </w:rPr>
                <w:t xml:space="preserve">National Hospital Morbidity Database (NHMD)</w:t>
              </w:r>
            </w:hyperlink>
          </w:p>
          <w:p>
            <w:r>
              <w:rPr>
                <w:rStyle w:val="row-content"/>
                <w:b/>
              </w:rPr>
              <w:t xml:space="preserve">NMDS / DSS</w:t>
            </w:r>
          </w:p>
          <w:p>
            <w:hyperlink w:history="true" r:id="R7b476dce19fb4cfe">
              <w:r>
                <w:rPr>
                  <w:rStyle w:val="Hyperlink"/>
                </w:rPr>
                <w:t xml:space="preserve">Admitted patient care NMDS 2016-17</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8ee4821b3cf4f75">
              <w:r>
                <w:rPr>
                  <w:rStyle w:val="Hyperlink"/>
                </w:rPr>
                <w:t xml:space="preserve">Person—sex, code A</w:t>
              </w:r>
            </w:hyperlink>
          </w:p>
          <w:p>
            <w:r>
              <w:rPr>
                <w:rStyle w:val="row-content"/>
                <w:b/>
              </w:rPr>
              <w:t xml:space="preserve">Data Source</w:t>
            </w:r>
          </w:p>
          <w:p>
            <w:hyperlink w:history="true" r:id="R147c987752c74422">
              <w:r>
                <w:rPr>
                  <w:rStyle w:val="Hyperlink"/>
                </w:rPr>
                <w:t xml:space="preserve">National Hospital Morbidity Database (NHMD)</w:t>
              </w:r>
            </w:hyperlink>
          </w:p>
          <w:p>
            <w:r>
              <w:rPr>
                <w:rStyle w:val="row-content"/>
                <w:b/>
              </w:rPr>
              <w:t xml:space="preserve">Guide for use</w:t>
            </w:r>
          </w:p>
          <w:p>
            <w:r>
              <w:rPr>
                <w:rStyle w:val="row-content"/>
              </w:rPr>
              <w:t xml:space="preserve"> </w:t>
            </w:r>
          </w:p>
          <w:p>
            <w:r>
              <w:rPr>
                <w:rStyle w:val="row-content"/>
              </w:rPr>
              <w:t xml:space="preserve">Admitted patient care NMDS 2014-15 to 2017-18</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as at 31 December 2014, 31 December 2015, 31 December 2016 and 31 December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25c142db1324115">
              <w:r>
                <w:rPr>
                  <w:rStyle w:val="Hyperlink"/>
                </w:rPr>
                <w:t xml:space="preserve">Person—estimated resident population of Australia, total people N[N(7)]</w:t>
              </w:r>
            </w:hyperlink>
          </w:p>
          <w:p>
            <w:r>
              <w:rPr>
                <w:rStyle w:val="row-content"/>
                <w:b/>
              </w:rPr>
              <w:t xml:space="preserve">Data Source</w:t>
            </w:r>
          </w:p>
          <w:p>
            <w:hyperlink w:history="true" r:id="Rf5b1896d8add4585">
              <w:r>
                <w:rPr>
                  <w:rStyle w:val="Hyperlink"/>
                </w:rPr>
                <w:t xml:space="preserve">ABS Australian Demographic Statistics</w:t>
              </w:r>
            </w:hyperlink>
          </w:p>
          <w:p>
            <w:r>
              <w:rPr>
                <w:rStyle w:val="row-content"/>
                <w:b/>
              </w:rPr>
              <w:t xml:space="preserve">Guide for use</w:t>
            </w:r>
          </w:p>
          <w:p>
            <w:r>
              <w:rPr>
                <w:rStyle w:val="row-content"/>
              </w:rPr>
              <w:t xml:space="preserve"> </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hyperlink w:history="true" r:id="R5a3d42681c66487b">
              <w:r>
                <w:rPr>
                  <w:rStyle w:val="Hyperlink"/>
                </w:rPr>
                <w:t xml:space="preserve">Person—estimated resident population of Australia, total people N[N(7)]</w:t>
              </w:r>
            </w:hyperlink>
          </w:p>
          <w:p>
            <w:r>
              <w:rPr>
                <w:rStyle w:val="row-content"/>
                <w:b/>
              </w:rPr>
              <w:t xml:space="preserve">Data Source</w:t>
            </w:r>
          </w:p>
          <w:p>
            <w:hyperlink w:history="true" r:id="Redd9ac9df56745a1">
              <w:r>
                <w:rPr>
                  <w:rStyle w:val="Hyperlink"/>
                </w:rPr>
                <w:t xml:space="preserve">ABS Indigenous estimates and projections (2016 Census-based)</w:t>
              </w:r>
            </w:hyperlink>
          </w:p>
          <w:p>
            <w:r>
              <w:rPr>
                <w:rStyle w:val="row-content"/>
                <w:b/>
              </w:rPr>
              <w:t xml:space="preserve">Guide for use</w:t>
            </w:r>
          </w:p>
          <w:p>
            <w:r>
              <w:rPr>
                <w:rStyle w:val="row-content"/>
              </w:rPr>
              <w:t xml:space="preserve"> </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hyperlink w:history="true" r:id="R6a7c670ff1aa4415">
              <w:r>
                <w:rPr>
                  <w:rStyle w:val="Hyperlink"/>
                </w:rPr>
                <w:t xml:space="preserve">Person—estimated resident population of Australia, total people N[N(7)]</w:t>
              </w:r>
            </w:hyperlink>
          </w:p>
          <w:p>
            <w:r>
              <w:rPr>
                <w:rStyle w:val="row-content"/>
                <w:b/>
              </w:rPr>
              <w:t xml:space="preserve">Data Source</w:t>
            </w:r>
          </w:p>
          <w:p>
            <w:hyperlink w:history="true" r:id="R6c4e1d4acaad483c">
              <w:r>
                <w:rPr>
                  <w:rStyle w:val="Hyperlink"/>
                </w:rPr>
                <w:t xml:space="preserve">ABS Regional Population by Age and Sex, Australia</w:t>
              </w:r>
            </w:hyperlink>
          </w:p>
          <w:p>
            <w:r>
              <w:rPr>
                <w:rStyle w:val="row-content"/>
                <w:b/>
              </w:rPr>
              <w:t xml:space="preserve">Guide for use</w:t>
            </w:r>
          </w:p>
          <w:p>
            <w:r>
              <w:rPr>
                <w:rStyle w:val="row-content"/>
              </w:rPr>
              <w:t xml:space="preserve"> </w:t>
            </w:r>
          </w:p>
          <w:p>
            <w:r>
              <w:rPr>
                <w:rStyle w:val="row-content"/>
              </w:rPr>
              <w:t xml:space="preserve">Data source type: Census-based plus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SA3 2016</w:t>
            </w:r>
          </w:p>
          <w:p>
            <w:pPr>
              <w:spacing w:after="160"/>
            </w:pPr>
            <w:r>
              <w:rPr>
                <w:rStyle w:val="row-content-rich-text"/>
              </w:rPr>
              <w:t xml:space="preserve">Remoteness (ASGS Remoteness structure 2016)</w:t>
            </w:r>
            <w:r>
              <w:br/>
            </w:r>
            <w:r>
              <w:rPr>
                <w:rStyle w:val="row-content-rich-text"/>
              </w:rPr>
              <w:t xml:space="preserve">Socio-Economic Indexes for Areas (SEIFA 2016) Index of Relative Socioeconomic Disadvantage (IRSD 2016)</w:t>
            </w:r>
          </w:p>
          <w:p>
            <w:pPr>
              <w:spacing w:after="160"/>
            </w:pPr>
            <w:r>
              <w:rPr>
                <w:rStyle w:val="row-content-rich-text"/>
              </w:rPr>
              <w:t xml:space="preserve">Primary Health Network (PHN) 2017</w:t>
            </w:r>
          </w:p>
          <w:p>
            <w:pPr/>
            <w:r>
              <w:rPr>
                <w:rStyle w:val="row-content-rich-text"/>
              </w:rPr>
              <w:t xml:space="preserve">State and territory by Aboriginal and Torres Strait Islander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14934f1ca144192">
              <w:r>
                <w:rPr>
                  <w:rStyle w:val="Hyperlink"/>
                </w:rPr>
                <w:t xml:space="preserve">Person—area of usual residence, statistical area level 2 (SA2) code (ASGS 2016) N(9)</w:t>
              </w:r>
            </w:hyperlink>
          </w:p>
          <w:p>
            <w:r>
              <w:rPr>
                <w:rStyle w:val="row-content"/>
                <w:b/>
              </w:rPr>
              <w:t xml:space="preserve">Data Source</w:t>
            </w:r>
          </w:p>
          <w:p>
            <w:hyperlink w:history="true" r:id="Rad73e8c5025048b8">
              <w:r>
                <w:rPr>
                  <w:rStyle w:val="Hyperlink"/>
                </w:rPr>
                <w:t xml:space="preserve">National Hospital Morbidity Database (NHMD)</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3bd745555914e6e">
              <w:r>
                <w:rPr>
                  <w:rStyle w:val="Hyperlink"/>
                </w:rPr>
                <w:t xml:space="preserve">Person—Indigenous status, code N</w:t>
              </w:r>
            </w:hyperlink>
          </w:p>
          <w:p>
            <w:r>
              <w:rPr>
                <w:rStyle w:val="row-content"/>
                <w:b/>
              </w:rPr>
              <w:t xml:space="preserve">Data Source</w:t>
            </w:r>
          </w:p>
          <w:p>
            <w:hyperlink w:history="true" r:id="R2593326aedeb484b">
              <w:r>
                <w:rPr>
                  <w:rStyle w:val="Hyperlink"/>
                </w:rPr>
                <w:t xml:space="preserve">National Hospital Morbidity Database (NHMD)</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4f8807dc06e4218">
              <w:r>
                <w:rPr>
                  <w:rStyle w:val="Hyperlink"/>
                </w:rPr>
                <w:t xml:space="preserve">ABS Australian Demographic Statistics</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23a97f6083374a85">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67913001979c4096">
              <w:r>
                <w:rPr>
                  <w:rStyle w:val="Hyperlink"/>
                </w:rPr>
                <w:t xml:space="preserve">ABS Indigenous estimates and projections (2016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1c62ca9284d4479c">
              <w:r>
                <w:rPr>
                  <w:rStyle w:val="Hyperlink"/>
                </w:rPr>
                <w:t xml:space="preserve">ABS Regional Population by Age and Sex, Australia</w:t>
              </w:r>
            </w:hyperlink>
          </w:p>
          <w:p>
            <w:r>
              <w:rPr>
                <w:rStyle w:val="row-content"/>
                <w:b/>
              </w:rPr>
              <w:t xml:space="preserve">Frequency</w:t>
            </w:r>
          </w:p>
          <w:p>
            <w:r>
              <w:rPr>
                <w:rStyle w:val="row-content"/>
              </w:rPr>
              <w:t xml:space="preserve">Annually</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Methodology: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Statistical Area Level 3 (SA3s) are geographic areas defined in the ABS Australian Statistical Geography Standard (ASGS). The aim of SA3s is to create a standard framework for the analysis of ABS data at the regional level through clustering groups of SA2s that have similar regional characteristics. There are 340 spatial SA3s covering the whole of Australia without gaps or overlaps. They are designed to provide a regional breakdown of Australia. SA3s generally have a population of between 30,000 and 130,000 people. There are approximately 78 with fewer than 30,000 people and 46 with more than 130,000 as at 30 June 2016. The Other Territories of Jervis Bay, Cocos (Keeling) Islands, Christmas Island and Norfolk Island are each represented by a SA3 in the 2016 ASGS. For further information see the </w:t>
            </w:r>
            <w:hyperlink w:history="true" r:id="Rdb3041c194f74039">
              <w:r>
                <w:rPr>
                  <w:rStyle w:val="Hyperlink"/>
                </w:rPr>
                <w:t xml:space="preserve">ABS publication, Population by Age and Sex, Regions of Australia, 2016.</w:t>
              </w:r>
            </w:hyperlink>
          </w:p>
          <w:p>
            <w:pPr/>
            <w:r>
              <w:rPr>
                <w:rStyle w:val="row-content-rich-text"/>
                <w:color w:val="000000"/>
              </w:rPr>
              <w:t xml:space="preserve">The scope of the NHMD is episodes of care for admitted patients in all public and private acute and psychiatric hospitals, free-standing day hospital facilities and alcohol and drug treatment centres in Australia. Hospitals operated by the Australian Defence Force, corrections authorities and in Australia’s off-shore territories are not in scope, but some are included.</w:t>
            </w:r>
            <w:r>
              <w:rPr>
                <w:rStyle w:val="row-content-rich-text"/>
                <w:color w:val="000000"/>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Commission on Safety and Quality in Health Care </w:t>
            </w:r>
          </w:p>
          <w:p>
            <w:pPr/>
            <w:r>
              <w:rPr>
                <w:rStyle w:val="row-content-rich-text"/>
                <w:i/>
              </w:rPr>
              <w:t xml:space="preserve">Australian Atlas of Healthcare Variation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on Safety and Quality in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28/04/2021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more information about potentially preventable hospitalisations see: </w:t>
            </w:r>
          </w:p>
          <w:p>
            <w:pPr>
              <w:spacing w:after="160"/>
            </w:pPr>
            <w:r>
              <w:rPr>
                <w:rStyle w:val="row-content-rich-text"/>
              </w:rPr>
              <w:t xml:space="preserve">National Healthcare Agreement: </w:t>
            </w:r>
            <w:hyperlink w:history="true" r:id="R7d3898ae449d4227">
              <w:r>
                <w:rPr>
                  <w:rStyle w:val="Hyperlink"/>
                </w:rPr>
                <w:t xml:space="preserve">PI 18–Selected potentially preventable hospitalisations, 2019 </w:t>
              </w:r>
            </w:hyperlink>
            <w:r>
              <w:rPr>
                <w:rStyle w:val="row-content-rich-text"/>
              </w:rPr>
              <w:t xml:space="preserve"> </w:t>
            </w:r>
          </w:p>
          <w:p>
            <w:hyperlink w:history="true" r:id="Rd3ced1b4877c4fd7">
              <w:r>
                <w:rPr>
                  <w:rStyle w:val="Hyperlink"/>
                  <w:i/>
                </w:rPr>
                <w:t xml:space="preserve">Australian Atlas of Healthcare Variation, 2017: </w:t>
              </w:r>
              <w:r>
                <w:rPr>
                  <w:rStyle w:val="row-content-rich-text"/>
                </w:rPr>
                <w:t xml:space="preserve">Technical Supplement</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267af22412a64168">
              <w:r>
                <w:rPr>
                  <w:rStyle w:val="Hyperlink"/>
                </w:rPr>
                <w:t xml:space="preserve">ABS Estimated resident population (total population), QS</w:t>
              </w:r>
            </w:hyperlink>
          </w:p>
          <w:p>
            <w:pPr>
              <w:spacing w:before="0" w:after="0"/>
            </w:pPr>
            <w:r>
              <w:rPr>
                <w:rStyle w:val="row-content"/>
                <w:color w:val="244061"/>
              </w:rPr>
              <w:t xml:space="preserve">       </w:t>
            </w:r>
            <w:hyperlink w:history="true" r:id="R2c554fb6b0c4411e">
              <w:r>
                <w:rPr>
                  <w:rStyle w:val="Hyperlink"/>
                  <w:color w:val="244061"/>
                </w:rPr>
                <w:t xml:space="preserve">Health</w:t>
              </w:r>
            </w:hyperlink>
            <w:r>
              <w:rPr>
                <w:rStyle w:val="row-content"/>
                <w:color w:val="244061"/>
              </w:rPr>
              <w:t xml:space="preserve">, Standard 08/06/2011</w:t>
            </w:r>
          </w:p>
          <w:p>
            <w:r>
              <w:br/>
            </w:r>
            <w:r>
              <w:rPr>
                <w:rStyle w:val="row-content"/>
              </w:rPr>
              <w:t xml:space="preserve">See also </w:t>
            </w:r>
            <w:hyperlink w:history="true" r:id="Rc6d39a58ae05446d">
              <w:r>
                <w:rPr>
                  <w:rStyle w:val="Hyperlink"/>
                </w:rPr>
                <w:t xml:space="preserve">ABS Indigenous experimental estimates and projections, QS</w:t>
              </w:r>
            </w:hyperlink>
          </w:p>
          <w:p>
            <w:pPr>
              <w:spacing w:before="0" w:after="0"/>
            </w:pPr>
            <w:r>
              <w:rPr>
                <w:rStyle w:val="row-content"/>
                <w:color w:val="244061"/>
              </w:rPr>
              <w:t xml:space="preserve">       </w:t>
            </w:r>
            <w:hyperlink w:history="true" r:id="Rae544f355620482a">
              <w:r>
                <w:rPr>
                  <w:rStyle w:val="Hyperlink"/>
                  <w:color w:val="244061"/>
                </w:rPr>
                <w:t xml:space="preserve">Health</w:t>
              </w:r>
            </w:hyperlink>
            <w:r>
              <w:rPr>
                <w:rStyle w:val="row-content"/>
                <w:color w:val="244061"/>
              </w:rPr>
              <w:t xml:space="preserve">, Standard 08/06/2011</w:t>
            </w:r>
          </w:p>
          <w:p>
            <w:pPr>
              <w:spacing w:before="0" w:after="0"/>
            </w:pPr>
            <w:r>
              <w:rPr>
                <w:rStyle w:val="row-content"/>
                <w:color w:val="244061"/>
              </w:rPr>
              <w:t xml:space="preserve">       </w:t>
            </w:r>
            <w:hyperlink w:history="true" r:id="R7e6c27a0a3334892">
              <w:r>
                <w:rPr>
                  <w:rStyle w:val="Hyperlink"/>
                  <w:color w:val="244061"/>
                </w:rPr>
                <w:t xml:space="preserve">Indigenous</w:t>
              </w:r>
            </w:hyperlink>
            <w:r>
              <w:rPr>
                <w:rStyle w:val="row-content"/>
                <w:color w:val="244061"/>
              </w:rPr>
              <w:t xml:space="preserve">, Standard 11/09/2012</w:t>
            </w:r>
          </w:p>
          <w:p>
            <w:r>
              <w:br/>
            </w:r>
            <w:r>
              <w:rPr>
                <w:rStyle w:val="row-content"/>
              </w:rPr>
              <w:t xml:space="preserve">See also </w:t>
            </w:r>
            <w:hyperlink w:history="true" r:id="Rff6078c219164d8a">
              <w:r>
                <w:rPr>
                  <w:rStyle w:val="Hyperlink"/>
                </w:rPr>
                <w:t xml:space="preserve">Australian Atlas of  Healthcare Variation: Number of potentially preventable hospitalisations - heart failure, per 100,000 people, 2014-15</w:t>
              </w:r>
            </w:hyperlink>
          </w:p>
          <w:p>
            <w:pPr>
              <w:spacing w:before="0" w:after="0"/>
            </w:pPr>
            <w:r>
              <w:rPr>
                <w:rStyle w:val="row-content"/>
                <w:color w:val="244061"/>
              </w:rPr>
              <w:t xml:space="preserve">       </w:t>
            </w:r>
            <w:hyperlink w:history="true" r:id="Rd4bb7d46c4204400">
              <w:r>
                <w:rPr>
                  <w:rStyle w:val="Hyperlink"/>
                  <w:color w:val="244061"/>
                </w:rPr>
                <w:t xml:space="preserve">Australian Commission on Safety and Quality in Health Care</w:t>
              </w:r>
            </w:hyperlink>
            <w:r>
              <w:rPr>
                <w:rStyle w:val="row-content"/>
                <w:color w:val="244061"/>
              </w:rPr>
              <w:t xml:space="preserve">, Standard 07/06/2017</w:t>
            </w:r>
          </w:p>
          <w:p>
            <w:r>
              <w:br/>
            </w:r>
            <w:r>
              <w:rPr>
                <w:rStyle w:val="row-content"/>
              </w:rPr>
              <w:t xml:space="preserve">See also </w:t>
            </w:r>
            <w:hyperlink w:history="true" r:id="R6b5ecae3f729446a">
              <w:r>
                <w:rPr>
                  <w:rStyle w:val="Hyperlink"/>
                </w:rPr>
                <w:t xml:space="preserve">Data quality statement: Admitted Patient Care 2015-16</w:t>
              </w:r>
            </w:hyperlink>
          </w:p>
          <w:p>
            <w:pPr>
              <w:spacing w:before="0" w:after="0"/>
            </w:pPr>
            <w:r>
              <w:rPr>
                <w:rStyle w:val="row-content"/>
                <w:color w:val="244061"/>
              </w:rPr>
              <w:t xml:space="preserve">       </w:t>
            </w:r>
            <w:hyperlink w:history="true" r:id="R64b2d7c48dc84478">
              <w:r>
                <w:rPr>
                  <w:rStyle w:val="Hyperlink"/>
                  <w:color w:val="244061"/>
                </w:rPr>
                <w:t xml:space="preserve">AIHW Data Quality Statements</w:t>
              </w:r>
            </w:hyperlink>
            <w:r>
              <w:rPr>
                <w:rStyle w:val="row-content"/>
                <w:color w:val="244061"/>
              </w:rPr>
              <w:t xml:space="preserve">, Standard 27/11/2019</w:t>
            </w:r>
          </w:p>
          <w:p>
            <w:r>
              <w:br/>
            </w:r>
            <w:r>
              <w:rPr>
                <w:rStyle w:val="row-content"/>
              </w:rPr>
              <w:t xml:space="preserve">See also </w:t>
            </w:r>
            <w:hyperlink w:history="true" r:id="R2a11742de32941cc">
              <w:r>
                <w:rPr>
                  <w:rStyle w:val="Hyperlink"/>
                </w:rPr>
                <w:t xml:space="preserve">Data quality statement: Admitted Patient Care 2016-17</w:t>
              </w:r>
            </w:hyperlink>
          </w:p>
          <w:p>
            <w:pPr>
              <w:spacing w:before="0" w:after="0"/>
            </w:pPr>
            <w:r>
              <w:rPr>
                <w:rStyle w:val="row-content"/>
                <w:color w:val="244061"/>
              </w:rPr>
              <w:t xml:space="preserve">       </w:t>
            </w:r>
            <w:hyperlink w:history="true" r:id="Rf805f5d0d8c946d4">
              <w:r>
                <w:rPr>
                  <w:rStyle w:val="Hyperlink"/>
                  <w:color w:val="244061"/>
                </w:rPr>
                <w:t xml:space="preserve">AIHW Data Quality Statements</w:t>
              </w:r>
            </w:hyperlink>
            <w:r>
              <w:rPr>
                <w:rStyle w:val="row-content"/>
                <w:color w:val="244061"/>
              </w:rPr>
              <w:t xml:space="preserve">, Standard 27/11/2019</w:t>
            </w:r>
          </w:p>
          <w:p>
            <w:r>
              <w:br/>
            </w:r>
            <w:r>
              <w:rPr>
                <w:rStyle w:val="row-content"/>
              </w:rPr>
              <w:t xml:space="preserve">See also </w:t>
            </w:r>
            <w:hyperlink w:history="true" r:id="Rb1424c94d75e44f0">
              <w:r>
                <w:rPr>
                  <w:rStyle w:val="Hyperlink"/>
                </w:rPr>
                <w:t xml:space="preserve">Data quality statement: Admitted Patient Care 2017-18</w:t>
              </w:r>
            </w:hyperlink>
          </w:p>
          <w:p>
            <w:pPr>
              <w:spacing w:before="0" w:after="0"/>
            </w:pPr>
            <w:r>
              <w:rPr>
                <w:rStyle w:val="row-content"/>
                <w:color w:val="244061"/>
              </w:rPr>
              <w:t xml:space="preserve">       </w:t>
            </w:r>
            <w:hyperlink w:history="true" r:id="Ra6aaccc4d04d4b5f">
              <w:r>
                <w:rPr>
                  <w:rStyle w:val="Hyperlink"/>
                  <w:color w:val="244061"/>
                </w:rPr>
                <w:t xml:space="preserve">AIHW Data Quality Statements</w:t>
              </w:r>
            </w:hyperlink>
            <w:r>
              <w:rPr>
                <w:rStyle w:val="row-content"/>
                <w:color w:val="244061"/>
              </w:rPr>
              <w:t xml:space="preserve">, Standard 27/11/2019</w:t>
            </w:r>
          </w:p>
          <w:p>
            <w:r>
              <w:br/>
            </w:r>
            <w:r>
              <w:rPr>
                <w:rStyle w:val="row-content"/>
              </w:rPr>
              <w:t xml:space="preserve">See also </w:t>
            </w:r>
            <w:hyperlink w:history="true" r:id="R79aff2c40c9f4c70">
              <w:r>
                <w:rPr>
                  <w:rStyle w:val="Hyperlink"/>
                </w:rPr>
                <w:t xml:space="preserve">Data quality statement: National Hospital Morbidity Database 2014–15</w:t>
              </w:r>
            </w:hyperlink>
          </w:p>
          <w:p>
            <w:pPr>
              <w:spacing w:before="0" w:after="0"/>
            </w:pPr>
            <w:r>
              <w:rPr>
                <w:rStyle w:val="row-content"/>
                <w:color w:val="244061"/>
              </w:rPr>
              <w:t xml:space="preserve">       </w:t>
            </w:r>
            <w:hyperlink w:history="true" r:id="Rcee0f2da91bf4589">
              <w:r>
                <w:rPr>
                  <w:rStyle w:val="Hyperlink"/>
                  <w:color w:val="244061"/>
                </w:rPr>
                <w:t xml:space="preserve">AIHW Data Quality Statements</w:t>
              </w:r>
            </w:hyperlink>
            <w:r>
              <w:rPr>
                <w:rStyle w:val="row-content"/>
                <w:color w:val="244061"/>
              </w:rPr>
              <w:t xml:space="preserve">, Standard 31/08/2016</w:t>
            </w:r>
          </w:p>
          <w:p>
            <w:r>
              <w:br/>
            </w:r>
          </w:p>
        </w:tc>
      </w:tr>
    </w:tbl>
    <w:p>
      <w:r>
        <w:br/>
      </w:r>
    </w:p>
    <w:sectPr>
      <w:footerReference xmlns:r="http://schemas.openxmlformats.org/officeDocument/2006/relationships" w:type="default" r:id="R6fd17e86c18d492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724516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c376dfe39e94fb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fd17e86c18d4924" /><Relationship Type="http://schemas.openxmlformats.org/officeDocument/2006/relationships/header" Target="/word/header1.xml" Id="Rbf54046ef7e7436d" /><Relationship Type="http://schemas.openxmlformats.org/officeDocument/2006/relationships/settings" Target="/word/settings.xml" Id="Ra9a27a2fcf644c46" /><Relationship Type="http://schemas.openxmlformats.org/officeDocument/2006/relationships/styles" Target="/word/styles.xml" Id="R0ec66c14005b4321" /><Relationship Type="http://schemas.openxmlformats.org/officeDocument/2006/relationships/hyperlink" Target="https://meteor.aihw.gov.au/RegistrationAuthority/18" TargetMode="External" Id="R48a2071802574ce1" /><Relationship Type="http://schemas.openxmlformats.org/officeDocument/2006/relationships/hyperlink" Target="https://meteor.aihw.gov.au/content/723541" TargetMode="External" Id="Re67d29a0915742a0" /><Relationship Type="http://schemas.openxmlformats.org/officeDocument/2006/relationships/hyperlink" Target="https://meteor.aihw.gov.au/RegistrationAuthority/18" TargetMode="External" Id="Rd5c37c20861f4ce4" /><Relationship Type="http://schemas.openxmlformats.org/officeDocument/2006/relationships/hyperlink" Target="https://meteor.aihw.gov.au/content/681623" TargetMode="External" Id="R1eab432152604c62" /><Relationship Type="http://schemas.openxmlformats.org/officeDocument/2006/relationships/hyperlink" Target="https://meteor.aihw.gov.au/RegistrationAuthority/12" TargetMode="External" Id="Rcaebac755dc1403f" /><Relationship Type="http://schemas.openxmlformats.org/officeDocument/2006/relationships/hyperlink" Target="https://meteor.aihw.gov.au/content/327276" TargetMode="External" Id="R961bfdfdac294f6b" /><Relationship Type="http://schemas.openxmlformats.org/officeDocument/2006/relationships/numbering" Target="/word/numbering.xml" Id="R90e3b302cf8b4ce6" /><Relationship Type="http://schemas.openxmlformats.org/officeDocument/2006/relationships/hyperlink" Target="https://safetyandquality.gov.au/publications-and-resources/resource-library/fourth-atlas-2021-technical-supplement" TargetMode="External" Id="R09470ea801e34657" /><Relationship Type="http://schemas.openxmlformats.org/officeDocument/2006/relationships/hyperlink" Target="https://meteor.aihw.gov.au/content/269967" TargetMode="External" Id="Ra0b671174def4beb" /><Relationship Type="http://schemas.openxmlformats.org/officeDocument/2006/relationships/hyperlink" Target="https://meteor.aihw.gov.au/content/394352" TargetMode="External" Id="Rb5539d9d71b24c07" /><Relationship Type="http://schemas.openxmlformats.org/officeDocument/2006/relationships/hyperlink" Target="https://meteor.aihw.gov.au/content/640978" TargetMode="External" Id="Rfdb7fe1b7f6c428e" /><Relationship Type="http://schemas.openxmlformats.org/officeDocument/2006/relationships/hyperlink" Target="https://meteor.aihw.gov.au/content/394352" TargetMode="External" Id="R2cfa793957884e8d" /><Relationship Type="http://schemas.openxmlformats.org/officeDocument/2006/relationships/hyperlink" Target="https://meteor.aihw.gov.au/content/641349" TargetMode="External" Id="R10624d366be3475e" /><Relationship Type="http://schemas.openxmlformats.org/officeDocument/2006/relationships/hyperlink" Target="https://meteor.aihw.gov.au/content/641379" TargetMode="External" Id="R62af7adec43b47e0" /><Relationship Type="http://schemas.openxmlformats.org/officeDocument/2006/relationships/hyperlink" Target="https://meteor.aihw.gov.au/content/394352" TargetMode="External" Id="Re33e89404a534b18" /><Relationship Type="http://schemas.openxmlformats.org/officeDocument/2006/relationships/hyperlink" Target="https://meteor.aihw.gov.au/content/641349" TargetMode="External" Id="R138c78c6ea2c4346" /><Relationship Type="http://schemas.openxmlformats.org/officeDocument/2006/relationships/hyperlink" Target="https://meteor.aihw.gov.au/content/711010" TargetMode="External" Id="Rf11fdbf94276490e" /><Relationship Type="http://schemas.openxmlformats.org/officeDocument/2006/relationships/hyperlink" Target="https://meteor.aihw.gov.au/content/394352" TargetMode="External" Id="Rcab41f74780b4fe3" /><Relationship Type="http://schemas.openxmlformats.org/officeDocument/2006/relationships/hyperlink" Target="https://meteor.aihw.gov.au/content/287007" TargetMode="External" Id="R0f5f9a1552c546cd" /><Relationship Type="http://schemas.openxmlformats.org/officeDocument/2006/relationships/hyperlink" Target="https://meteor.aihw.gov.au/content/394352" TargetMode="External" Id="R320bea8f44704589" /><Relationship Type="http://schemas.openxmlformats.org/officeDocument/2006/relationships/hyperlink" Target="https://meteor.aihw.gov.au/content/514040" TargetMode="External" Id="Rc063e744b3b24315" /><Relationship Type="http://schemas.openxmlformats.org/officeDocument/2006/relationships/hyperlink" Target="https://meteor.aihw.gov.au/content/394352" TargetMode="External" Id="R3331655014d846a4" /><Relationship Type="http://schemas.openxmlformats.org/officeDocument/2006/relationships/hyperlink" Target="https://meteor.aihw.gov.au/content/535047" TargetMode="External" Id="Re0b54546ccd04a6e" /><Relationship Type="http://schemas.openxmlformats.org/officeDocument/2006/relationships/hyperlink" Target="https://meteor.aihw.gov.au/content/514273" TargetMode="External" Id="R8329f8ebfb084bdd" /><Relationship Type="http://schemas.openxmlformats.org/officeDocument/2006/relationships/hyperlink" Target="https://meteor.aihw.gov.au/content/394352" TargetMode="External" Id="R6b9f5eb7d4c44a2d" /><Relationship Type="http://schemas.openxmlformats.org/officeDocument/2006/relationships/hyperlink" Target="https://meteor.aihw.gov.au/content/535047" TargetMode="External" Id="Rb2268027252746e5" /><Relationship Type="http://schemas.openxmlformats.org/officeDocument/2006/relationships/hyperlink" Target="https://meteor.aihw.gov.au/content/588987" TargetMode="External" Id="Rb3a4e000927645db" /><Relationship Type="http://schemas.openxmlformats.org/officeDocument/2006/relationships/hyperlink" Target="https://meteor.aihw.gov.au/content/394352" TargetMode="External" Id="Rddd7c89e31614ccf" /><Relationship Type="http://schemas.openxmlformats.org/officeDocument/2006/relationships/hyperlink" Target="https://meteor.aihw.gov.au/content/588909" TargetMode="External" Id="R232a3a95c7f64746" /><Relationship Type="http://schemas.openxmlformats.org/officeDocument/2006/relationships/hyperlink" Target="https://meteor.aihw.gov.au/content/588987" TargetMode="External" Id="Rd4d5d52011ee478b" /><Relationship Type="http://schemas.openxmlformats.org/officeDocument/2006/relationships/hyperlink" Target="https://meteor.aihw.gov.au/content/394352" TargetMode="External" Id="R096e8a1364304028" /><Relationship Type="http://schemas.openxmlformats.org/officeDocument/2006/relationships/hyperlink" Target="https://meteor.aihw.gov.au/content/612171" TargetMode="External" Id="R1ec7d0f629a647b2" /><Relationship Type="http://schemas.openxmlformats.org/officeDocument/2006/relationships/hyperlink" Target="https://meteor.aihw.gov.au/content/589101" TargetMode="External" Id="R356c878a7ccb40e1" /><Relationship Type="http://schemas.openxmlformats.org/officeDocument/2006/relationships/hyperlink" Target="https://meteor.aihw.gov.au/content/394352" TargetMode="External" Id="R9adc2b12bb6941ef" /><Relationship Type="http://schemas.openxmlformats.org/officeDocument/2006/relationships/hyperlink" Target="https://meteor.aihw.gov.au/content/588909" TargetMode="External" Id="R6d31f15755314345" /><Relationship Type="http://schemas.openxmlformats.org/officeDocument/2006/relationships/hyperlink" Target="https://meteor.aihw.gov.au/content/589101" TargetMode="External" Id="Reeab5c50fe354459" /><Relationship Type="http://schemas.openxmlformats.org/officeDocument/2006/relationships/hyperlink" Target="https://meteor.aihw.gov.au/content/394352" TargetMode="External" Id="Ree801a64d0f74278" /><Relationship Type="http://schemas.openxmlformats.org/officeDocument/2006/relationships/hyperlink" Target="https://meteor.aihw.gov.au/content/612171" TargetMode="External" Id="R7b476dce19fb4cfe" /><Relationship Type="http://schemas.openxmlformats.org/officeDocument/2006/relationships/hyperlink" Target="https://meteor.aihw.gov.au/content/602450" TargetMode="External" Id="R88ee4821b3cf4f75" /><Relationship Type="http://schemas.openxmlformats.org/officeDocument/2006/relationships/hyperlink" Target="https://meteor.aihw.gov.au/content/394352" TargetMode="External" Id="R147c987752c74422" /><Relationship Type="http://schemas.openxmlformats.org/officeDocument/2006/relationships/hyperlink" Target="https://meteor.aihw.gov.au/content/388656" TargetMode="External" Id="Re25c142db1324115" /><Relationship Type="http://schemas.openxmlformats.org/officeDocument/2006/relationships/hyperlink" Target="https://meteor.aihw.gov.au/content/657459" TargetMode="External" Id="Rf5b1896d8add4585" /><Relationship Type="http://schemas.openxmlformats.org/officeDocument/2006/relationships/hyperlink" Target="https://meteor.aihw.gov.au/content/388656" TargetMode="External" Id="R5a3d42681c66487b" /><Relationship Type="http://schemas.openxmlformats.org/officeDocument/2006/relationships/hyperlink" Target="https://meteor.aihw.gov.au/content/719790" TargetMode="External" Id="Redd9ac9df56745a1" /><Relationship Type="http://schemas.openxmlformats.org/officeDocument/2006/relationships/hyperlink" Target="https://meteor.aihw.gov.au/content/388656" TargetMode="External" Id="R6a7c670ff1aa4415" /><Relationship Type="http://schemas.openxmlformats.org/officeDocument/2006/relationships/hyperlink" Target="https://meteor.aihw.gov.au/content/724384" TargetMode="External" Id="R6c4e1d4acaad483c" /><Relationship Type="http://schemas.openxmlformats.org/officeDocument/2006/relationships/hyperlink" Target="https://meteor.aihw.gov.au/content/659725" TargetMode="External" Id="Rd14934f1ca144192" /><Relationship Type="http://schemas.openxmlformats.org/officeDocument/2006/relationships/hyperlink" Target="https://meteor.aihw.gov.au/content/394352" TargetMode="External" Id="Rad73e8c5025048b8" /><Relationship Type="http://schemas.openxmlformats.org/officeDocument/2006/relationships/hyperlink" Target="https://meteor.aihw.gov.au/content/723676" TargetMode="External" Id="R43bd745555914e6e" /><Relationship Type="http://schemas.openxmlformats.org/officeDocument/2006/relationships/hyperlink" Target="https://meteor.aihw.gov.au/content/394352" TargetMode="External" Id="R2593326aedeb484b" /><Relationship Type="http://schemas.openxmlformats.org/officeDocument/2006/relationships/hyperlink" Target="https://meteor.aihw.gov.au/content/657459" TargetMode="External" Id="R54f8807dc06e4218" /><Relationship Type="http://schemas.openxmlformats.org/officeDocument/2006/relationships/hyperlink" Target="https://meteor.aihw.gov.au/content/394352" TargetMode="External" Id="R23a97f6083374a85" /><Relationship Type="http://schemas.openxmlformats.org/officeDocument/2006/relationships/hyperlink" Target="https://meteor.aihw.gov.au/content/719790" TargetMode="External" Id="R67913001979c4096" /><Relationship Type="http://schemas.openxmlformats.org/officeDocument/2006/relationships/hyperlink" Target="https://meteor.aihw.gov.au/content/724384" TargetMode="External" Id="R1c62ca9284d4479c" /><Relationship Type="http://schemas.openxmlformats.org/officeDocument/2006/relationships/hyperlink" Target="https://www.abs.gov.au/AUSSTATS/abs@.nsf/DetailsPage/3235.02016?OpenDocument" TargetMode="External" Id="Rdb3041c194f74039" /><Relationship Type="http://schemas.openxmlformats.org/officeDocument/2006/relationships/hyperlink" Target="https://meteor.aihw.gov.au/content/index.phtml/itemId/698904&amp;nbsp;" TargetMode="External" Id="R7d3898ae449d4227" /><Relationship Type="http://schemas.openxmlformats.org/officeDocument/2006/relationships/hyperlink" Target="https://www.safetyandquality.gov.au/sites/default/files/migrated/Technical-supplement.pdf" TargetMode="External" Id="Rd3ced1b4877c4fd7" /><Relationship Type="http://schemas.openxmlformats.org/officeDocument/2006/relationships/hyperlink" Target="https://meteor.aihw.gov.au/content/449216" TargetMode="External" Id="R267af22412a64168" /><Relationship Type="http://schemas.openxmlformats.org/officeDocument/2006/relationships/hyperlink" Target="https://meteor.aihw.gov.au/RegistrationAuthority/12" TargetMode="External" Id="R2c554fb6b0c4411e" /><Relationship Type="http://schemas.openxmlformats.org/officeDocument/2006/relationships/hyperlink" Target="https://meteor.aihw.gov.au/content/449223" TargetMode="External" Id="Rc6d39a58ae05446d" /><Relationship Type="http://schemas.openxmlformats.org/officeDocument/2006/relationships/hyperlink" Target="https://meteor.aihw.gov.au/RegistrationAuthority/12" TargetMode="External" Id="Rae544f355620482a" /><Relationship Type="http://schemas.openxmlformats.org/officeDocument/2006/relationships/hyperlink" Target="https://meteor.aihw.gov.au/RegistrationAuthority/6" TargetMode="External" Id="R7e6c27a0a3334892" /><Relationship Type="http://schemas.openxmlformats.org/officeDocument/2006/relationships/hyperlink" Target="https://meteor.aihw.gov.au/content/638941" TargetMode="External" Id="Rff6078c219164d8a" /><Relationship Type="http://schemas.openxmlformats.org/officeDocument/2006/relationships/hyperlink" Target="https://meteor.aihw.gov.au/RegistrationAuthority/18" TargetMode="External" Id="Rd4bb7d46c4204400" /><Relationship Type="http://schemas.openxmlformats.org/officeDocument/2006/relationships/hyperlink" Target="https://meteor.aihw.gov.au/content/723825" TargetMode="External" Id="R6b5ecae3f729446a" /><Relationship Type="http://schemas.openxmlformats.org/officeDocument/2006/relationships/hyperlink" Target="https://meteor.aihw.gov.au/RegistrationAuthority/5" TargetMode="External" Id="R64b2d7c48dc84478" /><Relationship Type="http://schemas.openxmlformats.org/officeDocument/2006/relationships/hyperlink" Target="https://meteor.aihw.gov.au/content/724186" TargetMode="External" Id="R2a11742de32941cc" /><Relationship Type="http://schemas.openxmlformats.org/officeDocument/2006/relationships/hyperlink" Target="https://meteor.aihw.gov.au/RegistrationAuthority/5" TargetMode="External" Id="Rf805f5d0d8c946d4" /><Relationship Type="http://schemas.openxmlformats.org/officeDocument/2006/relationships/hyperlink" Target="https://meteor.aihw.gov.au/content/724188" TargetMode="External" Id="Rb1424c94d75e44f0" /><Relationship Type="http://schemas.openxmlformats.org/officeDocument/2006/relationships/hyperlink" Target="https://meteor.aihw.gov.au/RegistrationAuthority/5" TargetMode="External" Id="Ra6aaccc4d04d4b5f" /><Relationship Type="http://schemas.openxmlformats.org/officeDocument/2006/relationships/hyperlink" Target="https://meteor.aihw.gov.au/content/638202" TargetMode="External" Id="R79aff2c40c9f4c70" /><Relationship Type="http://schemas.openxmlformats.org/officeDocument/2006/relationships/hyperlink" Target="https://meteor.aihw.gov.au/RegistrationAuthority/5" TargetMode="External" Id="Rcee0f2da91bf4589" /></Relationships>
</file>

<file path=word/_rels/header1.xml.rels>&#65279;<?xml version="1.0" encoding="utf-8"?><Relationships xmlns="http://schemas.openxmlformats.org/package/2006/relationships"><Relationship Type="http://schemas.openxmlformats.org/officeDocument/2006/relationships/image" Target="/media/image.png" Id="Rcc376dfe39e94fb9" /></Relationships>
</file>