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1d5775b3b946b8"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2018–19: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7123608b74383">
              <w:r>
                <w:rPr>
                  <w:rStyle w:val="Hyperlink"/>
                  <w:color w:val="244061"/>
                </w:rPr>
                <w:t xml:space="preserve">AIHW Data Quality Statements</w:t>
              </w:r>
            </w:hyperlink>
            <w:r>
              <w:rPr>
                <w:rStyle w:val="row-content"/>
                <w:color w:val="244061"/>
              </w:rPr>
              <w:t xml:space="preserve">, Superseded 01/03/2021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w:t>
            </w:r>
            <w:r>
              <w:rPr>
                <w:rStyle w:val="row-content-rich-text"/>
                <w:i/>
              </w:rPr>
              <w:t xml:space="preserve">Staphylococcus aureus </w:t>
            </w:r>
            <w:r>
              <w:rPr>
                <w:rStyle w:val="row-content-rich-text"/>
              </w:rPr>
              <w:t xml:space="preserve">Bacteraemia Data Collection (NSABDC) is a data set that includes counts of healthcare associated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also includes the counts of patient days under surveillance and total patient days.</w:t>
            </w:r>
          </w:p>
          <w:p>
            <w:pPr>
              <w:pStyle w:val="ListParagraph"/>
              <w:numPr>
                <w:ilvl w:val="0"/>
                <w:numId w:val="2"/>
              </w:numPr>
            </w:pPr>
            <w:r>
              <w:rPr>
                <w:rStyle w:val="row-content-rich-text"/>
              </w:rPr>
              <w:t xml:space="preserve">All cases of SAB have been reported by state and territory health departments, private hospitals and private hospital groups using the nationally agreed case definition (outlined below).</w:t>
            </w:r>
          </w:p>
          <w:p>
            <w:pPr>
              <w:pStyle w:val="ListParagraph"/>
              <w:numPr>
                <w:ilvl w:val="0"/>
                <w:numId w:val="2"/>
              </w:numPr>
            </w:pPr>
            <w:r>
              <w:rPr>
                <w:rStyle w:val="row-content-rich-text"/>
              </w:rPr>
              <w:t xml:space="preserve">Some SAB cases are excluded due to the inherent difficulties in determining the origins of SAB episodes, such as those originating in non-hospital settings.</w:t>
            </w:r>
          </w:p>
          <w:p>
            <w:pPr>
              <w:pStyle w:val="ListParagraph"/>
              <w:numPr>
                <w:ilvl w:val="0"/>
                <w:numId w:val="2"/>
              </w:numPr>
            </w:pPr>
            <w:r>
              <w:rPr>
                <w:rStyle w:val="row-content-rich-text"/>
              </w:rPr>
              <w:t xml:space="preserve">For some states and territories there is less than full coverage of public hospitals as surveillance arrangements may not be in place in all wards or all hospitals.</w:t>
            </w:r>
          </w:p>
          <w:p>
            <w:pPr>
              <w:pStyle w:val="ListParagraph"/>
              <w:numPr>
                <w:ilvl w:val="0"/>
                <w:numId w:val="2"/>
              </w:numPr>
            </w:pPr>
            <w:r>
              <w:rPr>
                <w:rStyle w:val="row-content-rich-text"/>
              </w:rPr>
              <w:t xml:space="preserve">Private hospitals supply data voluntarily to the NSABDC, and not all private hospitals report data. Coverage of the private sector is therefore incomplete and reported data is not fully representative of the sector as a whole. Comparisons between the public and private sector are therefore unreliable.</w:t>
            </w:r>
          </w:p>
          <w:p>
            <w:pPr>
              <w:pStyle w:val="ListParagraph"/>
              <w:numPr>
                <w:ilvl w:val="0"/>
                <w:numId w:val="2"/>
              </w:numPr>
            </w:pPr>
            <w:r>
              <w:rPr>
                <w:rStyle w:val="row-content-rich-text"/>
              </w:rPr>
              <w:t xml:space="preserve">The data for 2011–12 to 2018–19 are comparable. The count of days of patient care reflects the amount of admitted patient activity, but does not reflect the amount of non-admitted patient activity as this cannot be captured due to variations in admission practice.</w:t>
            </w:r>
          </w:p>
          <w:p>
            <w:pPr>
              <w:pStyle w:val="ListParagraph"/>
              <w:numPr>
                <w:ilvl w:val="0"/>
                <w:numId w:val="2"/>
              </w:numPr>
            </w:pPr>
            <w:r>
              <w:rPr>
                <w:rStyle w:val="row-content-rich-text"/>
              </w:rPr>
              <w:t xml:space="preserve">The data for 2010–11 are comparable with data from subsequent years, except for public hospital data for Queensland.</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Counts of occupied bed days are likely to be different from counts of days of patient care, and therefore limiting comparability of New South Wales public hospital data to equivalent data from other jurisdictions.</w:t>
            </w:r>
          </w:p>
          <w:p>
            <w:pPr>
              <w:pStyle w:val="ListParagraph"/>
              <w:numPr>
                <w:ilvl w:val="0"/>
                <w:numId w:val="2"/>
              </w:numPr>
            </w:pPr>
            <w:r>
              <w:rPr>
                <w:rStyle w:val="row-content-rich-text"/>
              </w:rPr>
              <w:t xml:space="preserve">The 2018–19 patient day and coverage data may be preliminary for some hospitals or jurisdictions.</w:t>
            </w:r>
          </w:p>
          <w:p>
            <w:pPr>
              <w:pStyle w:val="ListParagraph"/>
              <w:numPr>
                <w:ilvl w:val="0"/>
                <w:numId w:val="2"/>
              </w:numPr>
            </w:pPr>
            <w:r>
              <w:rPr>
                <w:rStyle w:val="row-content-rich-text"/>
              </w:rPr>
              <w:t xml:space="preserve">As described in the </w:t>
            </w:r>
            <w:hyperlink w:history="true" r:id="R03bd0e117a4b4ea3">
              <w:r>
                <w:rPr>
                  <w:rStyle w:val="Hyperlink"/>
                </w:rPr>
                <w:t xml:space="preserve">National </w:t>
              </w:r>
              <w:r>
                <w:rPr>
                  <w:rStyle w:val="row-content-rich-text"/>
                  <w:i/>
                </w:rPr>
                <w:t xml:space="preserve">Staphylococcus aureus </w:t>
              </w:r>
              <w:r>
                <w:rPr>
                  <w:rStyle w:val="row-content-rich-text"/>
                </w:rPr>
                <w:t xml:space="preserve">Bacteraemia Data Collection, 2015–16 Quality Statement</w:t>
              </w:r>
            </w:hyperlink>
            <w:r>
              <w:rPr>
                <w:rStyle w:val="row-content-rich-text"/>
              </w:rPr>
              <w:t xml:space="preserve">, due to the changes in the denominator of the performance indicator specification, data published in 2017 for the reporting years 2010–11 to 2015–16 are not comparable with data previously published in COAG Reform Council publications, the AIHW series '</w:t>
            </w:r>
            <w:r>
              <w:rPr>
                <w:rStyle w:val="row-content-rich-text"/>
                <w:i/>
              </w:rPr>
              <w:t xml:space="preserve">Staphylococcus aureus</w:t>
            </w:r>
            <w:r>
              <w:rPr>
                <w:rStyle w:val="row-content-rich-text"/>
                <w:i/>
              </w:rPr>
              <w:t xml:space="preserve">bacteraemia in Australian public hospitals: Australian hospital statistics</w:t>
            </w:r>
            <w:r>
              <w:rPr>
                <w:rStyle w:val="row-content-rich-text"/>
              </w:rPr>
              <w:t xml:space="preserve">' nor the </w:t>
            </w:r>
            <w:r>
              <w:rPr>
                <w:rStyle w:val="row-content-rich-text"/>
                <w:i/>
              </w:rPr>
              <w:t xml:space="preserve">Report of Government Services.</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w:t>
            </w:r>
            <w:r>
              <w:rPr>
                <w:rStyle w:val="row-content-rich-text"/>
                <w:i/>
              </w:rPr>
              <w:t xml:space="preserve">Staphylococcus aureus</w:t>
            </w:r>
            <w:r>
              <w:rPr>
                <w:rStyle w:val="row-content-rich-text"/>
              </w:rPr>
              <w:t xml:space="preserve"> bacteraemia (SAB)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w:t>
            </w:r>
            <w:r>
              <w:rPr>
                <w:rStyle w:val="row-content-rich-text"/>
                <w:i/>
              </w:rPr>
              <w:t xml:space="preserve">Staphylococcus aureus</w:t>
            </w:r>
            <w:r>
              <w:rPr>
                <w:rStyle w:val="row-content-rich-text"/>
              </w:rPr>
              <w:t xml:space="preserve"> (MRSA) and methicillin-sensitive </w:t>
            </w:r>
            <w:r>
              <w:rPr>
                <w:rStyle w:val="row-content-rich-text"/>
                <w:i/>
              </w:rPr>
              <w:t xml:space="preserve">Staphylococcus aureus</w:t>
            </w:r>
            <w:r>
              <w:rPr>
                <w:rStyle w:val="row-content-rich-text"/>
              </w:rPr>
              <w:t xml:space="preserve"> (MSSA) cases for public hospitals are reported separately at a state or territory level for the collection years of 2010–11 to 2015–16 inclusive, and at hospital level for the collection years of 2016–17, 2017–18 and 2018–19.</w:t>
            </w:r>
          </w:p>
          <w:p>
            <w:pPr>
              <w:spacing w:after="160"/>
            </w:pPr>
            <w:r>
              <w:rPr>
                <w:rStyle w:val="row-content-rich-text"/>
              </w:rPr>
              <w:t xml:space="preserve">A case (patient 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SAB was diagnosed within 48 hours of a related invasive instrumentation or incision.</w:t>
            </w:r>
          </w:p>
          <w:p>
            <w:pPr>
              <w:spacing w:after="160"/>
            </w:pPr>
            <w:r>
              <w:rPr>
                <w:rStyle w:val="row-content-rich-text"/>
              </w:rPr>
              <w:t xml:space="preserve">4. SAB is associated with neutropenia contributed to by cytotoxic therapy. Neutropenia is defined as at least two separate calendar days with values of absolute neutrophil count or total white blood cell count (WBC)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 L) on or within a seven-day time period which includes the date the positive blood specimen was collected (Day 1), the 3 calendar days before and the 3 calendar days after.</w:t>
            </w:r>
          </w:p>
          <w:p>
            <w:pPr/>
            <w:r>
              <w:rPr>
                <w:rStyle w:val="row-content-rich-text"/>
              </w:rPr>
              <w:t xml:space="preserve">This definition of a case of SAB was used by all states and territories for reporting for the 2015–16; 2016–17, 2017–18 and 2018–19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a010bfcee9a5497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Indigenous health, maternal health,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hyperlink w:history="true" r:id="Rf11c9e6b317742a0">
              <w:r>
                <w:rPr>
                  <w:rStyle w:val="Hyperlink"/>
                  <w:i/>
                </w:rPr>
                <w:t xml:space="preserve">Australian Institute of Health and Welfare Act 1987</w:t>
              </w:r>
            </w:hyperlink>
            <w:r>
              <w:rPr>
                <w:rStyle w:val="row-content-rich-text"/>
              </w:rPr>
              <w:t xml:space="preserve">, in conjunction with compliance to the </w:t>
            </w:r>
            <w:hyperlink w:history="true" r:id="Rdd80c077af17429a">
              <w:r>
                <w:rPr>
                  <w:rStyle w:val="Hyperlink"/>
                  <w:i/>
                </w:rPr>
                <w:t xml:space="preserve">Privacy Act 1988</w:t>
              </w:r>
            </w:hyperlink>
            <w:r>
              <w:rPr>
                <w:rStyle w:val="row-content-rich-text"/>
                <w:i/>
              </w:rPr>
              <w:t xml:space="preserve">,</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6587ad91ca3748b1">
              <w:r>
                <w:rPr>
                  <w:rStyle w:val="Hyperlink"/>
                </w:rPr>
                <w:t xml:space="preserve">AIHW website</w:t>
              </w:r>
            </w:hyperlink>
          </w:p>
          <w:p>
            <w:pPr/>
            <w:r>
              <w:rPr>
                <w:rStyle w:val="row-content-rich-text"/>
              </w:rPr>
              <w:t xml:space="preserve">Data for the NSABDC were supplied to the AIHW by state and territory health authorities for reporting based on the National Healthcare Agreement (NHA) performance benchmark and performance indicator ‘Healthcare-associated infections: </w:t>
            </w:r>
            <w:r>
              <w:rPr>
                <w:rStyle w:val="row-content-rich-text"/>
                <w:i/>
              </w:rPr>
              <w:t xml:space="preserve">Staphylococcus aureus</w:t>
            </w:r>
            <w:r>
              <w:rPr>
                <w:rStyle w:val="row-content-rich-text"/>
              </w:rPr>
              <w:t xml:space="preserve"> bacteraemia’ and for reporting using the Performance and Accountability Framework specifications. </w:t>
            </w:r>
            <w:r>
              <w:rPr>
                <w:rStyle w:val="row-content-rich-text"/>
              </w:rPr>
              <w:t xml:space="preserve">Data supplied to the AIHW by state and territory health authorities and AIHW reports based on those data are approved by the relevant data custodians in each jurisdiction prior to it being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annually by state and territory health authorities. Data are collected from private providers concurrently with data from state and territory health authorities. However, given the voluntary nature of the NSABDC for the private sector, one or more supplementary collections may also be conducted throughout each year for private hospitals. The reference period for this data set is 2018–19, with revised data provided for 2017–18.</w:t>
            </w:r>
          </w:p>
          <w:p>
            <w:pPr/>
            <w:r>
              <w:rPr>
                <w:rStyle w:val="row-content-rich-text"/>
              </w:rPr>
              <w:t xml:space="preserve">States and territory health departments provided the data to the AIHW by November 2019. The data were published in February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data from the NSABDC annually:</w:t>
            </w:r>
          </w:p>
          <w:p>
            <w:pPr>
              <w:pStyle w:val="ListParagraph"/>
              <w:numPr>
                <w:ilvl w:val="0"/>
                <w:numId w:val="3"/>
              </w:numPr>
            </w:pPr>
            <w:r>
              <w:rPr>
                <w:rStyle w:val="row-content-rich-text"/>
              </w:rPr>
              <w:t xml:space="preserve">in the 'Staphylococcus aureus</w:t>
            </w:r>
            <w:r>
              <w:rPr>
                <w:rStyle w:val="row-content-rich-text"/>
                <w:i/>
              </w:rPr>
              <w:t xml:space="preserve"> bacteraemia in Australian hospitals: Australian hospital statistics'</w:t>
            </w:r>
            <w:r>
              <w:rPr>
                <w:rStyle w:val="row-content-rich-text"/>
              </w:rPr>
              <w:t xml:space="preserve"> series. From 2019, this was renamed the </w:t>
            </w:r>
            <w:r>
              <w:rPr>
                <w:rStyle w:val="row-content-rich-text"/>
                <w:i/>
              </w:rPr>
              <w:t xml:space="preserve">'Bloodstream infections associated with hospital care: Australian hospital statistics'</w:t>
            </w:r>
            <w:r>
              <w:rPr>
                <w:rStyle w:val="row-content-rich-text"/>
              </w:rPr>
              <w:t xml:space="preserve"> series. These reports may be accessed on the </w:t>
            </w:r>
            <w:hyperlink w:history="true" r:id="Rcaa8ff9e594f414a">
              <w:r>
                <w:rPr>
                  <w:rStyle w:val="Hyperlink"/>
                </w:rPr>
                <w:t xml:space="preserve">AIHW website</w:t>
              </w:r>
            </w:hyperlink>
            <w:r>
              <w:rPr>
                <w:rStyle w:val="row-content-rich-text"/>
              </w:rPr>
              <w:t xml:space="preserve">.</w:t>
            </w:r>
          </w:p>
          <w:p>
            <w:pPr>
              <w:pStyle w:val="ListParagraph"/>
              <w:numPr>
                <w:ilvl w:val="0"/>
                <w:numId w:val="3"/>
              </w:numPr>
            </w:pPr>
            <w:r>
              <w:rPr>
                <w:rStyle w:val="row-content-rich-text"/>
              </w:rPr>
              <w:t xml:space="preserve">for individual hospitals on the MyHospitals website. These data may be accessed on the </w:t>
            </w:r>
            <w:hyperlink w:history="true" r:id="R56ca3cc0dfd049cf">
              <w:r>
                <w:rPr>
                  <w:rStyle w:val="Hyperlink"/>
                </w:rPr>
                <w:t xml:space="preserve">MyHospitals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w:t>
            </w:r>
            <w:hyperlink w:history="true" r:id="R6c759fabe5ce466c">
              <w:r>
                <w:rPr>
                  <w:rStyle w:val="Hyperlink"/>
                </w:rPr>
                <w:t xml:space="preserve">AIHW website</w:t>
              </w:r>
            </w:hyperlink>
            <w:r>
              <w:rPr>
                <w:rStyle w:val="row-content-rich-text"/>
              </w:rPr>
              <w:t xml:space="preserve">.</w:t>
            </w:r>
          </w:p>
          <w:p>
            <w:pPr/>
            <w:r>
              <w:rPr>
                <w:rStyle w:val="row-content-rich-text"/>
              </w:rPr>
              <w:t xml:space="preserve">The NHA performance indicator specification can be accessed on the METeOR </w:t>
            </w:r>
            <w:hyperlink w:history="true" r:id="Re254daf66a794344">
              <w:r>
                <w:rPr>
                  <w:rStyle w:val="Hyperlink"/>
                </w:rPr>
                <w:t xml:space="preserve">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Each jurisdiction only reports cases associated with health care in their jurisdiction. Jurisdictions report SAB cases where health care services for that cases were provided.</w:t>
            </w:r>
          </w:p>
          <w:p>
            <w:pPr>
              <w:spacing w:after="160"/>
            </w:pPr>
            <w:r>
              <w:rPr>
                <w:rStyle w:val="row-content-rich-text"/>
              </w:rPr>
              <w:t xml:space="preserve">There may be patient episodes of SAB identified by a hospital which did not originate in that hospital. If the originating hospital is under SAB surveillance, then the patient episode of SAB is reported against the originating hospital.</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hospitals. Some SAB cases may be excluded due to the inherent difficulties in determining the origins of SAB episodes, such as those originating from non-hospital settings. However, it is likely that the number of cases incorrectly included or excluded would be small.</w:t>
            </w:r>
          </w:p>
          <w:p>
            <w:pPr>
              <w:spacing w:after="160"/>
            </w:pPr>
            <w:r>
              <w:rPr>
                <w:rStyle w:val="row-content-rich-text"/>
              </w:rPr>
              <w:t xml:space="preserve">While non-admitted patient episodes are included in the numerator for performance indicator calculations, the count of patient days (in the denominator) reflects the amount of admitted patient activity, but not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The data have not been adjusted for differences in casemix among the states and territories or among hospital peer groups. 'Casemix' is a term that refers to the range and types of patients treated by a hospital or other health service. For SAB, relevant aspects of casemix that could affect the risk of SAB for patients include patient comorbidities and procedures performed.</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data provider in response to these edit queries. The AIHW does not adjust data to account for possible data errors or missing or incorrect values, except as stated above.</w:t>
            </w:r>
          </w:p>
          <w:p>
            <w:pPr>
              <w:spacing w:after="160"/>
            </w:pPr>
            <w:r>
              <w:rPr>
                <w:rStyle w:val="row-content-rich-text"/>
              </w:rPr>
              <w:t xml:space="preserve">Processes and capacity to validate a patient episode of SAB may vary between states and territories, and arrangements for the collection of data by hospitals and the reporting to state and territory health authorities may also vary. Jurisdictional manuals should be referred to for full details of definitions used in their infection surveillance arrangements.</w:t>
            </w:r>
          </w:p>
          <w:p>
            <w:pPr>
              <w:spacing w:after="160"/>
            </w:pPr>
            <w:r>
              <w:rPr>
                <w:rStyle w:val="row-content-rich-text"/>
                <w:i/>
              </w:rPr>
              <w:t xml:space="preserve">Coverage</w:t>
            </w:r>
          </w:p>
          <w:p>
            <w:pPr>
              <w:spacing w:after="160"/>
            </w:pPr>
            <w:r>
              <w:rPr>
                <w:rStyle w:val="row-content-rich-text"/>
              </w:rPr>
              <w:t xml:space="preserve">For some states and territories there is less than full coverage of public hospitals as surveillance arrangements may not be in place in all wards or all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Noting that not all public hospitals/wards have SAB surveillance arrangement in place, coverage of public hospitals within the collection is very high. In 2014–15 coverage ranged from 94% to 100%. In 2018–19 the range of coverage increased, from 96% to 100%.</w:t>
            </w:r>
          </w:p>
          <w:p>
            <w:pPr>
              <w:spacing w:after="160"/>
            </w:pPr>
            <w:r>
              <w:rPr>
                <w:rStyle w:val="row-content-rich-text"/>
              </w:rPr>
              <w:t xml:space="preserve">For private hospitals, the percentage of hospitals participating in the collection has increased from 14% in 2016–17 to 28% in 2018–19. Participation of private hospitals is calculated by using the 2016-17 ABS National Private Health Establishment Collection. As this collection ceased after 2016-17, there may be an over estimation of the percentage of private hospitals participating in the collection. Of the 28% that participated in the 2018–19 collection, coverage ranged from 98% to 100%. </w:t>
            </w:r>
          </w:p>
          <w:p>
            <w:pPr>
              <w:spacing w:after="160"/>
            </w:pPr>
            <w:r>
              <w:rPr>
                <w:rStyle w:val="row-content-rich-text"/>
              </w:rPr>
              <w:t xml:space="preserve">The patient day data for 2018–19 may be preliminary for some hospitals or jurisdictions.</w:t>
            </w:r>
          </w:p>
          <w:p>
            <w:pPr>
              <w:spacing w:after="160"/>
            </w:pPr>
            <w:r>
              <w:rPr>
                <w:rStyle w:val="row-content-rich-text"/>
              </w:rPr>
              <w:t xml:space="preserve">For 2015–16, Western Australia reported one case where both MRSA and MSSA were identified. This case has been reported in the MRSA count, not reported in the MSSA count, and reported as one case in the total for Western Australia.</w:t>
            </w:r>
          </w:p>
          <w:p>
            <w:pPr>
              <w:spacing w:after="160"/>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p>
            <w:pPr>
              <w:spacing w:after="160"/>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p>
            <w:pPr/>
            <w:r>
              <w:rPr>
                <w:rStyle w:val="row-content-rich-text"/>
              </w:rPr>
              <w:t xml:space="preserve">Some public hospitals services are provided by private hospitals or private hospital groups. Reported SAB data for these public hospitals may be provided by the state or territory department of health, the private hospital or the private hospital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w:t>
            </w:r>
            <w:r>
              <w:rPr>
                <w:rStyle w:val="row-content-rich-text"/>
                <w:i/>
              </w:rPr>
              <w:t xml:space="preserve">National Agreement: Baseline performance report for 2008-09 </w:t>
            </w:r>
            <w:r>
              <w:rPr>
                <w:rStyle w:val="row-content-rich-text"/>
              </w:rPr>
              <w:t xml:space="preserve">(CRC 2010). Since that report, further work has been undertaken on data development for the NHA performance indicator, including the definition of an episode of SAB and the definition of the number of patient days under SAB surveillance, as used for the denominator of the NHA performance indicator.</w:t>
            </w:r>
          </w:p>
          <w:p>
            <w:pPr>
              <w:spacing w:after="160"/>
            </w:pPr>
            <w:r>
              <w:rPr>
                <w:rStyle w:val="row-content-rich-text"/>
              </w:rPr>
              <w:t xml:space="preserve">The most recent work in 2016 was to revise the definition of patient days under SAB surveillance to exclude unqualified newborns, and to update the neutropenia criterion, as advised by the Australian Commission on Safety and Quality in Health Care. All jurisdictions re-provided data for the reporting years of 2010–11 to 2014–15 according to the revised specification.</w:t>
            </w:r>
          </w:p>
          <w:p>
            <w:pPr>
              <w:spacing w:after="160"/>
            </w:pPr>
            <w:r>
              <w:rPr>
                <w:rStyle w:val="row-content-rich-text"/>
              </w:rPr>
              <w:t xml:space="preserve">For 2010–11 to 2014–15, all states and territories used the definition of SAB patient episodes as defined above in the 'Quality statement summary — description', but with the following neutropenia criterion:</w:t>
            </w:r>
          </w:p>
          <w:p>
            <w:pPr>
              <w:spacing w:after="160"/>
            </w:pPr>
            <w:r>
              <w:rPr>
                <w:rStyle w:val="row-content-rich-text"/>
              </w:rPr>
              <w:t xml:space="preserve">SAB is associated with neutropenia (&lt;1 x 10 </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subsequent years, all states and territories used the definition of SAB patient episodes as defined above with the updated neutropenia criterion as described above in the 'Quality statement summary — description'.</w:t>
            </w:r>
          </w:p>
          <w:p>
            <w:pPr>
              <w:spacing w:after="160"/>
            </w:pPr>
            <w:r>
              <w:rPr>
                <w:rStyle w:val="row-content-rich-text"/>
              </w:rPr>
              <w:t xml:space="preserve">The change to the neutropenia criterion is not considered to have materially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spacing w:after="160"/>
            </w:pPr>
            <w:r>
              <w:rPr>
                <w:rStyle w:val="row-content-rich-text"/>
              </w:rPr>
              <w:t xml:space="preserve">Due to the changes in the denominator of the performance indicator specification, data published in 2017 and subsequent years for the reporting years 2010–11 to 2014–15 are not comparable with data previously published in:</w:t>
            </w:r>
          </w:p>
          <w:p>
            <w:pPr>
              <w:pStyle w:val="ListParagraph"/>
              <w:numPr>
                <w:ilvl w:val="0"/>
                <w:numId w:val="4"/>
              </w:numPr>
            </w:pPr>
            <w:r>
              <w:rPr>
                <w:rStyle w:val="row-content-rich-text"/>
              </w:rPr>
              <w:t xml:space="preserve">the Council of Australian Governments (COAG) Reform Council publications</w:t>
            </w:r>
          </w:p>
          <w:p>
            <w:pPr>
              <w:pStyle w:val="ListParagraph"/>
              <w:numPr>
                <w:ilvl w:val="0"/>
                <w:numId w:val="4"/>
              </w:numPr>
            </w:pPr>
            <w:r>
              <w:rPr>
                <w:rStyle w:val="row-content-rich-text"/>
              </w:rPr>
              <w:t xml:space="preserve">the AIHW series ‘</w:t>
            </w:r>
            <w:r>
              <w:rPr>
                <w:rStyle w:val="row-content-rich-text"/>
                <w:i/>
              </w:rPr>
              <w:t xml:space="preserve">Staphylococcus aureus</w:t>
            </w:r>
            <w:r>
              <w:rPr>
                <w:rStyle w:val="row-content-rich-text"/>
              </w:rPr>
              <w:t xml:space="preserve"> bacteraemia in Australian public hospitals: Australian hospital statistics’</w:t>
            </w:r>
          </w:p>
          <w:p>
            <w:pPr>
              <w:pStyle w:val="ListParagraph"/>
              <w:numPr>
                <w:ilvl w:val="0"/>
                <w:numId w:val="4"/>
              </w:numPr>
            </w:pPr>
            <w:r>
              <w:rPr>
                <w:rStyle w:val="row-content-rich-text"/>
              </w:rPr>
              <w:t xml:space="preserve">the annual </w:t>
            </w:r>
            <w:r>
              <w:rPr>
                <w:rStyle w:val="row-content-rich-text"/>
                <w:i/>
              </w:rPr>
              <w:t xml:space="preserve">Report on Government Services</w:t>
            </w:r>
            <w:r>
              <w:rPr>
                <w:rStyle w:val="row-content-rich-text"/>
              </w:rPr>
              <w:t xml:space="preserve"> produced by the Steering Committee for the Review of Government Service Provision.</w:t>
            </w:r>
          </w:p>
          <w:p>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7e4bb4119f43d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CRC (COAG Reform Council) 2010. National Healthcare Agreement: Baseline performance report for 2008–09. Sydney: COAG Reform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f2e69dce284ba9">
              <w:r>
                <w:rPr>
                  <w:rStyle w:val="Hyperlink"/>
                </w:rPr>
                <w:t xml:space="preserve">National Staphylococcus aureus Bacteraemia Data Collection, 2017–18: Quality Statement</w:t>
              </w:r>
            </w:hyperlink>
          </w:p>
          <w:p>
            <w:pPr>
              <w:spacing w:before="0" w:after="0"/>
            </w:pPr>
            <w:r>
              <w:rPr>
                <w:rStyle w:val="row-content"/>
                <w:color w:val="244061"/>
              </w:rPr>
              <w:t xml:space="preserve">       </w:t>
            </w:r>
            <w:hyperlink w:history="true" r:id="R4d0a369768bc42ff">
              <w:r>
                <w:rPr>
                  <w:rStyle w:val="Hyperlink"/>
                  <w:color w:val="244061"/>
                </w:rPr>
                <w:t xml:space="preserve">AIHW Data Quality Statements</w:t>
              </w:r>
            </w:hyperlink>
            <w:r>
              <w:rPr>
                <w:rStyle w:val="row-content"/>
                <w:color w:val="244061"/>
              </w:rPr>
              <w:t xml:space="preserve">, Superseded 20/02/2020</w:t>
            </w:r>
          </w:p>
          <w:p>
            <w:r>
              <w:br/>
            </w:r>
            <w:r>
              <w:rPr>
                <w:rStyle w:val="row-content"/>
              </w:rPr>
              <w:t xml:space="preserve">Has been superseded by </w:t>
            </w:r>
            <w:hyperlink w:history="true" r:id="Rf165283eb1144ea9">
              <w:r>
                <w:rPr>
                  <w:rStyle w:val="Hyperlink"/>
                </w:rPr>
                <w:t xml:space="preserve">National Staphylococcus aureus Bacteraemia Data Collection, 2019–20: Quality Statement</w:t>
              </w:r>
            </w:hyperlink>
          </w:p>
          <w:p>
            <w:pPr>
              <w:spacing w:before="0" w:after="0"/>
            </w:pPr>
            <w:r>
              <w:rPr>
                <w:rStyle w:val="row-content"/>
                <w:color w:val="244061"/>
              </w:rPr>
              <w:t xml:space="preserve">       </w:t>
            </w:r>
            <w:hyperlink w:history="true" r:id="Rcfbab8d047a54846">
              <w:r>
                <w:rPr>
                  <w:rStyle w:val="Hyperlink"/>
                  <w:color w:val="244061"/>
                </w:rPr>
                <w:t xml:space="preserve">AIHW Data Quality Statements</w:t>
              </w:r>
            </w:hyperlink>
            <w:r>
              <w:rPr>
                <w:rStyle w:val="row-content"/>
                <w:color w:val="244061"/>
              </w:rPr>
              <w:t xml:space="preserve">, Superseded 21/02/2023</w:t>
            </w:r>
          </w:p>
          <w:p>
            <w:r>
              <w:br/>
            </w:r>
            <w:r>
              <w:rPr>
                <w:rStyle w:val="row-content"/>
              </w:rPr>
              <w:t xml:space="preserve">See also </w:t>
            </w:r>
            <w:hyperlink w:history="true" r:id="R84e14f2b84aa4dd8">
              <w:r>
                <w:rPr>
                  <w:rStyle w:val="Hyperlink"/>
                </w:rPr>
                <w:t xml:space="preserve">National Staphylococcus aureus Bacteraemia Data Collection, 2015-16: Quality Statement</w:t>
              </w:r>
            </w:hyperlink>
          </w:p>
          <w:p>
            <w:pPr>
              <w:spacing w:before="0" w:after="0"/>
            </w:pPr>
            <w:r>
              <w:rPr>
                <w:rStyle w:val="row-content"/>
                <w:color w:val="244061"/>
              </w:rPr>
              <w:t xml:space="preserve">       </w:t>
            </w:r>
            <w:hyperlink w:history="true" r:id="R2159c6803aa84d2f">
              <w:r>
                <w:rPr>
                  <w:rStyle w:val="Hyperlink"/>
                  <w:color w:val="244061"/>
                </w:rPr>
                <w:t xml:space="preserve">AIHW Data Quality Statements</w:t>
              </w:r>
            </w:hyperlink>
            <w:r>
              <w:rPr>
                <w:rStyle w:val="row-content"/>
                <w:color w:val="244061"/>
              </w:rPr>
              <w:t xml:space="preserve">, Superseded 15/12/2017</w:t>
            </w:r>
          </w:p>
          <w:p>
            <w:r>
              <w:br/>
            </w:r>
          </w:p>
        </w:tc>
      </w:tr>
    </w:tbl>
    <w:p>
      <w:r>
        <w:br/>
      </w:r>
    </w:p>
    <w:sectPr>
      <w:footerReference xmlns:r="http://schemas.openxmlformats.org/officeDocument/2006/relationships" w:type="default" r:id="Rf59c75c9bf51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724058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09a2ae3d4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9c75c9bf51497c" /><Relationship Type="http://schemas.openxmlformats.org/officeDocument/2006/relationships/header" Target="/word/header1.xml" Id="Rb7a4b001ba7c41e1" /><Relationship Type="http://schemas.openxmlformats.org/officeDocument/2006/relationships/settings" Target="/word/settings.xml" Id="R6e5d634ed380462f" /><Relationship Type="http://schemas.openxmlformats.org/officeDocument/2006/relationships/styles" Target="/word/styles.xml" Id="R770ae2fabb784529" /><Relationship Type="http://schemas.openxmlformats.org/officeDocument/2006/relationships/hyperlink" Target="https://meteor.aihw.gov.au/RegistrationAuthority/5" TargetMode="External" Id="R47f7123608b74383" /><Relationship Type="http://schemas.openxmlformats.org/officeDocument/2006/relationships/numbering" Target="/word/numbering.xml" Id="R4e9b93826863409a" /><Relationship Type="http://schemas.openxmlformats.org/officeDocument/2006/relationships/hyperlink" Target="https://meteor.aihw.gov.au/content/663249" TargetMode="External" Id="R03bd0e117a4b4ea3" /><Relationship Type="http://schemas.openxmlformats.org/officeDocument/2006/relationships/hyperlink" Target="https://www.legislation.gov.au/Series/C2004A03450" TargetMode="External" Id="Ra010bfcee9a54973" /><Relationship Type="http://schemas.openxmlformats.org/officeDocument/2006/relationships/hyperlink" Target="https://www.legislation.gov.au/Series/C2004A03450" TargetMode="External" Id="Rf11c9e6b317742a0" /><Relationship Type="http://schemas.openxmlformats.org/officeDocument/2006/relationships/hyperlink" Target="https://www.legislation.gov.au/Series/C2004A03712" TargetMode="External" Id="Rdd80c077af17429a" /><Relationship Type="http://schemas.openxmlformats.org/officeDocument/2006/relationships/hyperlink" Target="http://www.aihw.gov.au" TargetMode="External" Id="R6587ad91ca3748b1" /><Relationship Type="http://schemas.openxmlformats.org/officeDocument/2006/relationships/hyperlink" Target="http://www.aihw.gov.au/hospitals/" TargetMode="External" Id="Rcaa8ff9e594f414a" /><Relationship Type="http://schemas.openxmlformats.org/officeDocument/2006/relationships/hyperlink" Target="https://www.myhospitals.gov.au/" TargetMode="External" Id="R56ca3cc0dfd049cf" /><Relationship Type="http://schemas.openxmlformats.org/officeDocument/2006/relationships/hyperlink" Target="https://meteor.aihw.gov.au/content/181162" TargetMode="External" Id="R6c759fabe5ce466c" /><Relationship Type="http://schemas.openxmlformats.org/officeDocument/2006/relationships/hyperlink" Target="https://meteor.aihw.gov.au/content/716702" TargetMode="External" Id="Re254daf66a794344" /><Relationship Type="http://schemas.openxmlformats.org/officeDocument/2006/relationships/hyperlink" Target="https://meteor.aihw.gov.au/content/246013" TargetMode="External" Id="R447e4bb4119f43de" /><Relationship Type="http://schemas.openxmlformats.org/officeDocument/2006/relationships/hyperlink" Target="https://meteor.aihw.gov.au/content/709796" TargetMode="External" Id="R8af2e69dce284ba9" /><Relationship Type="http://schemas.openxmlformats.org/officeDocument/2006/relationships/hyperlink" Target="https://meteor.aihw.gov.au/RegistrationAuthority/5" TargetMode="External" Id="R4d0a369768bc42ff" /><Relationship Type="http://schemas.openxmlformats.org/officeDocument/2006/relationships/hyperlink" Target="https://meteor.aihw.gov.au/content/733574" TargetMode="External" Id="Rf165283eb1144ea9" /><Relationship Type="http://schemas.openxmlformats.org/officeDocument/2006/relationships/hyperlink" Target="https://meteor.aihw.gov.au/RegistrationAuthority/5" TargetMode="External" Id="Rcfbab8d047a54846" /><Relationship Type="http://schemas.openxmlformats.org/officeDocument/2006/relationships/hyperlink" Target="https://meteor.aihw.gov.au/content/663249" TargetMode="External" Id="R84e14f2b84aa4dd8" /><Relationship Type="http://schemas.openxmlformats.org/officeDocument/2006/relationships/hyperlink" Target="https://meteor.aihw.gov.au/RegistrationAuthority/5" TargetMode="External" Id="R2159c6803aa84d2f" /></Relationships>
</file>

<file path=word/_rels/header1.xml.rels>&#65279;<?xml version="1.0" encoding="utf-8"?><Relationships xmlns="http://schemas.openxmlformats.org/package/2006/relationships"><Relationship Type="http://schemas.openxmlformats.org/officeDocument/2006/relationships/image" Target="/media/image.png" Id="Rff809a2ae3d44cb0" /></Relationships>
</file>