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0f298175ab4761"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dental data collection,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dental data collection,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1907a24c0144a0">
              <w:r>
                <w:rPr>
                  <w:rStyle w:val="Hyperlink"/>
                  <w:color w:val="244061"/>
                </w:rPr>
                <w:t xml:space="preserve">AIHW Data Quality Statements</w:t>
              </w:r>
            </w:hyperlink>
            <w:r>
              <w:rPr>
                <w:rStyle w:val="row-content"/>
                <w:color w:val="244061"/>
              </w:rPr>
              <w:t xml:space="preserve">, Superseded 23/03/2021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Partnership Agreement on Stronger Futures in the Northern Territory (SFNT) was implemented mid–2012 and replaced by the National Partnership Agreement on Northern Territory Remote Aboriginal Investment (NTRAI) in July 2015, outlining a 10-year commitment to 2021–22. It is funded by the Australian Government and delivered by the Northern Territory Government. The AIHW collects data on the SFNT/NTRAI Oral Health Program (OHP) which includes the delivery of clinical services, tooth extractions under general anaesthesia (July 2012 to December 2014), and a preventive program including the delivery of fissure sealants and full-mouth fluoride varnish (FV) applications.</w:t>
            </w:r>
          </w:p>
          <w:p>
            <w:pPr>
              <w:spacing w:after="160"/>
            </w:pPr>
            <w:r>
              <w:rPr>
                <w:rStyle w:val="row-content-rich-text"/>
              </w:rPr>
              <w:t xml:space="preserve">This data collection included around 20,000 Indigenous children and adolescents who were aged between 0 and 15 and who received oral health services under the Stronger Futures in the Northern Territory Oral Health Program (SFNT OHP) and, later, under the Northern Territory Remote Aboriginal Investment Oral Health Program (NTRAI OHP).</w:t>
            </w:r>
          </w:p>
          <w:p>
            <w:pPr>
              <w:spacing w:after="160"/>
            </w:pPr>
            <w:r>
              <w:rPr>
                <w:rStyle w:val="row-content-rich-text"/>
              </w:rPr>
              <w:t xml:space="preserve">Data collected as part of the SFNT/NTRAI OHP are a by-product of administration of a clinical process. Dental professionals who provide clinical services document the results on standard data collection forms or in a computer-based data collection system.</w:t>
            </w:r>
          </w:p>
          <w:p>
            <w:pPr>
              <w:spacing w:after="160"/>
            </w:pPr>
            <w:r>
              <w:rPr>
                <w:rStyle w:val="row-content-rich-text"/>
                <w:b/>
              </w:rPr>
              <w:t xml:space="preserve">Summary of key issues</w:t>
            </w:r>
          </w:p>
          <w:p>
            <w:pPr>
              <w:pStyle w:val="ListParagraph"/>
              <w:numPr>
                <w:ilvl w:val="0"/>
                <w:numId w:val="2"/>
              </w:numPr>
            </w:pPr>
            <w:r>
              <w:rPr>
                <w:rStyle w:val="row-content-rich-text"/>
              </w:rPr>
              <w:t xml:space="preserve">Not all Indigenous children in the Northern Territory receive SFNT/NTRAI oral health services and for a proportion of these children consent was not given to have data supplied for the data collection. As such, SFNT/NTRAI data may not be fully representative of the oral health of the entire Northern Territory Indigenous child population.</w:t>
            </w:r>
          </w:p>
          <w:p>
            <w:pPr>
              <w:pStyle w:val="ListParagraph"/>
              <w:numPr>
                <w:ilvl w:val="0"/>
                <w:numId w:val="2"/>
              </w:numPr>
            </w:pPr>
            <w:r>
              <w:rPr>
                <w:rStyle w:val="row-content-rich-text"/>
              </w:rPr>
              <w:t xml:space="preserve">Not all dental services provided in the Northern Territory are captured in the SFNT/NTRAI dental database. This data collection only captures oral health services funded through the SFNT/NTRAI OHP.</w:t>
            </w:r>
          </w:p>
          <w:p>
            <w:pPr>
              <w:pStyle w:val="ListParagraph"/>
              <w:numPr>
                <w:ilvl w:val="0"/>
                <w:numId w:val="2"/>
              </w:numPr>
            </w:pPr>
            <w:r>
              <w:rPr>
                <w:rStyle w:val="row-content-rich-text"/>
              </w:rPr>
              <w:t xml:space="preserve">In the first 6 months of the SFNT/NTRAI OHP (July to December 2012), the consent rate to share data with the AIHW was low, at 27% for clinical service recipients, 26% for full-mouth FV recipients, and 22% for fissure sealant recipients; data collected in this period are not representative of all SFNT dental services and service recipients. However, consent rates improved substantially after the initial period to 89% for clinical service recipients, 81% for full-mouth FV recipients, and 89% for fissure sealant recipients in 2015, but have decreased to 83%, 67%, and 83%, respectively in 2018. The drop in consent rates for full-mouth FV service recipients may be due to the increase in reporting of full-mouth FV services by primary health-care staff who do not obtain and record consent for sharing data.</w:t>
            </w:r>
          </w:p>
          <w:p>
            <w:pPr>
              <w:pStyle w:val="ListParagraph"/>
              <w:numPr>
                <w:ilvl w:val="0"/>
                <w:numId w:val="2"/>
              </w:numPr>
            </w:pPr>
            <w:r>
              <w:rPr>
                <w:rStyle w:val="row-content-rich-text"/>
              </w:rPr>
              <w:t xml:space="preserve">There have been changes in the data items provided each year for the collection, which will impact time series analysis of the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responsible for undertaking the data management, analysis and reporting of information collected as part of the SFNT/NTRAI OHP.</w:t>
            </w:r>
          </w:p>
          <w:p>
            <w:pPr>
              <w:spacing w:after="160"/>
            </w:pPr>
            <w:r>
              <w:rPr>
                <w:rStyle w:val="row-content-rich-text"/>
              </w:rPr>
              <w:t xml:space="preserve">The Australian Institute of Health and Welfare (AIHW) is an independent corporate Commonwealth entity under the </w:t>
            </w:r>
            <w:hyperlink w:history="true" r:id="R88523ee2045a462b">
              <w:r>
                <w:rPr>
                  <w:rStyle w:val="Hyperlink"/>
                  <w:i/>
                </w:rPr>
                <w:t xml:space="preserve">Australian Institute of Health and Welfare Act 1987</w:t>
              </w:r>
            </w:hyperlink>
            <w:r>
              <w:rPr>
                <w:rStyle w:val="row-content-rich-text"/>
              </w:rPr>
              <w:t xml:space="preserve"> (AIHW Act), governed by a </w:t>
            </w:r>
            <w:hyperlink w:history="true" r:id="R48d0678e5d3c4e13">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management agency. Its purpose is to create authoritative and accessible information and statistics that inform decisions and improve the health and welfare of all Australians.</w:t>
            </w:r>
          </w:p>
          <w:p>
            <w:pPr>
              <w:spacing w:after="160"/>
            </w:pPr>
            <w:r>
              <w:rPr>
                <w:rStyle w:val="row-content-rich-text"/>
              </w:rPr>
              <w:t xml:space="preserve">The AIHW enables other organisations to improve their policies and services and achieve their goals by making better use of evidence—a fundamental requirement for good decision making. It collects and reports on a wide range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Compliance with confidentiality requirements in the AIHW Act, Privacy Principles in the </w:t>
            </w:r>
            <w:hyperlink w:history="true" r:id="R49afa102c1b84a10">
              <w:r>
                <w:rPr>
                  <w:rStyle w:val="Hyperlink"/>
                  <w:i/>
                </w:rPr>
                <w:t xml:space="preserve">Privacy Act 1988</w:t>
              </w:r>
            </w:hyperlink>
            <w:r>
              <w:rPr>
                <w:rStyle w:val="row-content-rich-text"/>
              </w:rPr>
              <w:t xml:space="preserve">, (Cth) and its data governance arrangements ensures that the AIHW is well positioned to release information for public benefit while protecting the identity of individuals and organisations. It also ensures that data providers can be confidents that the AIHW will adhere to data supply terms and conditions.</w:t>
            </w:r>
          </w:p>
          <w:p>
            <w:pPr>
              <w:spacing w:after="160"/>
            </w:pPr>
            <w:r>
              <w:rPr>
                <w:rStyle w:val="row-content-rich-text"/>
              </w:rPr>
              <w:t xml:space="preserve">For further information see the </w:t>
            </w:r>
            <w:hyperlink w:history="true" r:id="Rc5828e69b8974968">
              <w:r>
                <w:rPr>
                  <w:rStyle w:val="Hyperlink"/>
                </w:rPr>
                <w:t xml:space="preserve">AIHW website</w:t>
              </w:r>
            </w:hyperlink>
            <w:r>
              <w:rPr>
                <w:rStyle w:val="row-content-rich-text"/>
              </w:rPr>
              <w:t xml:space="preserve">.</w:t>
            </w:r>
          </w:p>
          <w:p>
            <w:pPr/>
            <w:r>
              <w:rPr>
                <w:rStyle w:val="row-content-rich-text"/>
              </w:rPr>
              <w:t xml:space="preserve">The Northern Territory Department of Health (NT DoH) has been funded to deliver SFNT/NTRAI oral health services. The NT DoH is responsible for providing a wide range of health and family services, and delivers services related to the Ministerial responsibilities of Health and Senior Territorians. Further information can be found on the </w:t>
            </w:r>
            <w:hyperlink w:history="true" r:id="R75b16e3db42e4cbd">
              <w:r>
                <w:rPr>
                  <w:rStyle w:val="Hyperlink"/>
                </w:rPr>
                <w:t xml:space="preserve">NT DoH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on services delivered are submitted to the AIHW by the NT DoH at the start of each calendar year. The dental data collection contains information on children and young people who received dental services between July 2012 and December 2018.</w:t>
            </w:r>
          </w:p>
          <w:p>
            <w:pPr/>
            <w:r>
              <w:rPr>
                <w:rStyle w:val="row-content-rich-text"/>
              </w:rPr>
              <w:t xml:space="preserve">The first report from the SFNT dental data collection was published in December 2014, with a reference period of July 2012 to December 2013. The second report from the SFNT/NTRAI dental data collection was published in January 2017, with a reference period of July 2012 to December 2015. The third report from the SFNT/NTRAI dental data collection was published in February 2018, with a reference period of July 2012 to December 2016. The fourth report was published in February 2019, with a reference period of July 2012 to December 2017. The latest report was published in November 2019, with a reference period of July 2012 to December 2018. Each annual report builds on the previous years’ data to produce time trends, and track children and young people as they move through the program. It is expected that future reports will be published on an annual basis by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are published on the AIHW website and can be downloaded free of charge at </w:t>
            </w:r>
            <w:hyperlink w:history="true" r:id="R04a24ed277d64ffb">
              <w:r>
                <w:rPr>
                  <w:rStyle w:val="Hyperlink"/>
                </w:rPr>
                <w:t xml:space="preserve">www.aihw.gov.au</w:t>
              </w:r>
            </w:hyperlink>
            <w:r>
              <w:rPr>
                <w:rStyle w:val="row-content-rich-text"/>
              </w:rPr>
              <w:t xml:space="preserve">. Supplementary data tables presenting more detailed data accompany each report and these, too, are available on the AIHW website where they can be downloaded without charge.</w:t>
            </w:r>
          </w:p>
          <w:p>
            <w:pPr/>
            <w:r>
              <w:rPr>
                <w:rStyle w:val="row-content-rich-text"/>
              </w:rPr>
              <w:t xml:space="preserve">Permission to obtain unpublished data must be sought from the Commonwealth Department of Health and the NT DoH. As well, approvals from relevant Northern Territory ethics committees may be required. The AIHW can provide advice on obtaining the relevant approvals.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reports contain relevant definitions and information about caveats or aspects that readers should be aware of when interpreting the data. Footnotes are included where relevant to provide further details or caveats. Reference material containing information about the programs and data collection accompany each report. Readers are advised to consider all supporting and contextual information to ensure appropriate interpretation of analyses presented by the AIHW.</w:t>
            </w:r>
          </w:p>
          <w:p>
            <w:pPr/>
            <w:r>
              <w:rPr>
                <w:rStyle w:val="row-content-rich-text"/>
              </w:rPr>
              <w:t xml:space="preserve">A copy of the SFNT/NTRAI National Partnership Agreement from the Standing Council on Federal Financial Relations is available </w:t>
            </w:r>
            <w:hyperlink w:history="true" r:id="R265400caf3b84d12">
              <w:r>
                <w:rPr>
                  <w:rStyle w:val="Hyperlink"/>
                </w:rPr>
                <w:t xml:space="preserve">here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collection includes over 20,000 Indigenous children and adolescents who were aged between 0 and 15 and who received oral health services under the SFNT OHP and, later, under the NTRAI OHP. The children in the data collection are not a random sample of Indigenous children and adolescents in the Northern Territory, and therefore, SFNT/NTRAI OHP data may not be representative of the general population of Indigenous children in the Northern Territory.</w:t>
            </w:r>
          </w:p>
          <w:p>
            <w:pPr>
              <w:spacing w:after="160"/>
            </w:pPr>
            <w:r>
              <w:rPr>
                <w:rStyle w:val="row-content-rich-text"/>
              </w:rPr>
              <w:t xml:space="preserve">Not all dental services provided in the Northern Territory are captured in the SFNT/NTRAI dental database. This data collection only captures oral health services funded through the SFNT/NTRAI OHP.</w:t>
            </w:r>
          </w:p>
          <w:p>
            <w:pPr>
              <w:spacing w:after="160"/>
            </w:pPr>
            <w:r>
              <w:rPr>
                <w:rStyle w:val="row-content-rich-text"/>
              </w:rPr>
              <w:t xml:space="preserve">The Northern Territory dental data collection captures data on children and young people who receive oral health services funded through the SFNT/NTRAI. The data include information on the amount of services provided, as well as demographic information and the oral health status of service recipients; the data also allow for comparison of children’s oral health status over a time period. The information provided from the data is critical for monitoring oral health services and the oral health status of service recipients.</w:t>
            </w:r>
          </w:p>
          <w:p>
            <w:pPr>
              <w:spacing w:after="160"/>
            </w:pPr>
            <w:r>
              <w:rPr>
                <w:rStyle w:val="row-content-rich-text"/>
              </w:rPr>
              <w:t xml:space="preserve">The AIHW SFNT/NTRAI dental data collection captures information on the following components of the SFNT/NTRAI OHP:</w:t>
            </w:r>
          </w:p>
          <w:p>
            <w:pPr>
              <w:spacing w:after="160"/>
            </w:pPr>
            <w:r>
              <w:rPr>
                <w:rStyle w:val="row-content-rich-text"/>
                <w:b/>
              </w:rPr>
              <w:t xml:space="preserve">Clinical services and tooth extractions under general anaesthetic</w:t>
            </w:r>
          </w:p>
          <w:p>
            <w:pPr>
              <w:spacing w:after="160"/>
            </w:pPr>
            <w:r>
              <w:rPr>
                <w:rStyle w:val="row-content-rich-text"/>
              </w:rPr>
              <w:t xml:space="preserve">Clinical services include diagnostic services, periodontics (treatment of gums), endodontics (pulp treatments), restorative fillings, bridges and crowns, tooth extractions, orthodontics (dental braces), and prosthetic treatments (replacement of teeth). In the first 3 years of the SFNT OHP there is provision for tooth extractions performed in hospital under general anaesthetic (it is no longer a part of the NTRAI OHP).</w:t>
            </w:r>
          </w:p>
          <w:p>
            <w:pPr>
              <w:spacing w:after="160"/>
            </w:pPr>
            <w:r>
              <w:rPr>
                <w:rStyle w:val="row-content-rich-text"/>
              </w:rPr>
              <w:t xml:space="preserve">Data collected includes demographic information about the child (age, sex, and community of treatment), information on problems treated, type of clinical management received, and the number of decayed, missing and filled teeth.</w:t>
            </w:r>
          </w:p>
          <w:p>
            <w:pPr>
              <w:spacing w:after="160"/>
            </w:pPr>
            <w:r>
              <w:rPr>
                <w:rStyle w:val="row-content-rich-text"/>
                <w:b/>
              </w:rPr>
              <w:t xml:space="preserve">Preventive services</w:t>
            </w:r>
          </w:p>
          <w:p>
            <w:pPr>
              <w:spacing w:after="160"/>
            </w:pPr>
            <w:r>
              <w:rPr>
                <w:rStyle w:val="row-content-rich-text"/>
              </w:rPr>
              <w:t xml:space="preserve">Preventive services include the application of fissure sealants and full-mouth FV. While these services are available to Indigenous children under the age of 16 across the Northern Territory, full-mouth FV services are targeted towards children between the ages of 18 months and 15 years and fissure sealant services to children aged 6 to 15 years.</w:t>
            </w:r>
          </w:p>
          <w:p>
            <w:pPr/>
            <w:r>
              <w:rPr>
                <w:rStyle w:val="row-content-rich-text"/>
              </w:rPr>
              <w:t xml:space="preserve">Geographic information is based on the area where the service was provided, rather than the community of residence of the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obtain de-identified unit record data for the SFNT/ NTRAI dental data collection, consent for sharing information must be obtained from children’s families. If children’s families do not give consent for their information to be used in de-identified unit record form, only a limited amount of information can be sent to the AIHW. These data are submitted to the AIHW in aggregate form to enable the number of services and, subsequently, the number of children to be counted, but does not contain detailed demographic information, types of treatment received or oral health status.</w:t>
            </w:r>
          </w:p>
          <w:p>
            <w:pPr>
              <w:spacing w:after="160"/>
            </w:pPr>
            <w:r>
              <w:rPr>
                <w:rStyle w:val="row-content-rich-text"/>
              </w:rPr>
              <w:t xml:space="preserve">In the first 6 months of the SFNT OHP (July to December 2012), the consent rate to share data with the AIHW was low, at 27% for clinical service recipients, 26% for full-mouth fluoride varnish (FV) recipients, and 22% for fissure sealant recipients; data collected in this period are not representative of all SFNT dental services and service recipients. However, consent rates improved substantially after the initial period to 89% for clinical service recipients, 81% for full-mouth FV recipients, and 89% for fissure sealant recipients in 2015, but have decreased to 83%, 67%, and 83%, respectively in 2018.</w:t>
            </w:r>
          </w:p>
          <w:p>
            <w:pPr/>
            <w:r>
              <w:rPr>
                <w:rStyle w:val="row-content-rich-text"/>
              </w:rPr>
              <w:t xml:space="preserve">Personal information, such as the child’s name, is not provided to the AIHW. As such, children can only be tracked using a Hospital Registration Number (HRN). Children cannot be tracked if their HRN is missing or incorrect, however in 2018, there were no such cases.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Oral health program services were originally funded through the Child Health Check Initiative/Closing the Gap (CHCI(CtG)) program, which ran from August 2007 to June 2012. Caution should be taken when comparing the data between these programs due to differences in eligibility criteria for the programs:</w:t>
            </w:r>
          </w:p>
          <w:p>
            <w:pPr>
              <w:pStyle w:val="ListParagraph"/>
              <w:numPr>
                <w:ilvl w:val="0"/>
                <w:numId w:val="3"/>
              </w:numPr>
            </w:pPr>
            <w:r>
              <w:rPr>
                <w:rStyle w:val="row-content-rich-text"/>
              </w:rPr>
              <w:t xml:space="preserve">CHCI(CtG) services were provided to Indigenous children and adolescents in Prescribed Areas of the Northern Territory and targeted those who had a referral from the Northern Territory Emergency Response program of child health checks. The final report from the CHCI(CtG) program, Northern Territory Emergency Response Child Health Check Initiative—follow-up services for oral and ear health: final report 2007–2012, was published in 2012 and is available from the AIHW website.</w:t>
            </w:r>
          </w:p>
          <w:p>
            <w:pPr>
              <w:pStyle w:val="ListParagraph"/>
              <w:numPr>
                <w:ilvl w:val="0"/>
                <w:numId w:val="3"/>
              </w:numPr>
            </w:pPr>
            <w:r>
              <w:rPr>
                <w:rStyle w:val="row-content-rich-text"/>
              </w:rPr>
              <w:t xml:space="preserve">Under the SFNT/NTRAI OHP:</w:t>
            </w:r>
            <w:r>
              <w:br/>
            </w:r>
            <w:r>
              <w:rPr>
                <w:rStyle w:val="row-content-rich-text"/>
              </w:rPr>
              <w:t xml:space="preserve">        • all Indigenous children and adolescents in the Northern Territory under the age of 16 are eligible for services.</w:t>
            </w:r>
            <w:r>
              <w:br/>
            </w:r>
            <w:r>
              <w:rPr>
                <w:rStyle w:val="row-content-rich-text"/>
              </w:rPr>
              <w:t xml:space="preserve">        • services are targeted towards remote areas of the Northern Territory.</w:t>
            </w:r>
          </w:p>
          <w:p>
            <w:pPr/>
            <w:r>
              <w:rPr>
                <w:rStyle w:val="row-content-rich-text"/>
              </w:rPr>
              <w:t xml:space="preserve">Since 2014, there have been a number of changes in the data submitted by the OHS-NT to the AIHW. Apart from basic demographic information, HRN and number of decayed, missing and filled teeth for service recipients, all other data items are no longer submitted. In the past, the AIHW received information about dental problems treated (for example, gum disease). The latest data received by the AIHW include dental procedures undertaken at each episode of dental care, using ‘The Australian Schedule of Dental Services and Glossary’, a coding system for dental treatment. Although it is possible to derive the types of dental services provided from this coding system, the information is not sufficient to derive the exact type of dental problem treated. As a result, in the latest three reports published in 2018 and 2019, it was not possible to include the analyses related to the types of dental problems treated that were presented in previous AIHW reports on SFNT oral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18/11/2019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34f45c685a4a2b">
              <w:r>
                <w:rPr>
                  <w:rStyle w:val="Hyperlink"/>
                </w:rPr>
                <w:t xml:space="preserve">Northern Territory Remote Aboriginal Investment dental data collection, 2017; Quality Statement</w:t>
              </w:r>
            </w:hyperlink>
          </w:p>
          <w:p>
            <w:pPr>
              <w:pStyle w:val="registration-status"/>
              <w:spacing w:before="0" w:after="0"/>
            </w:pPr>
            <w:hyperlink w:history="true" r:id="Re611b1ad0d9f4bc9">
              <w:r>
                <w:rPr>
                  <w:rStyle w:val="Hyperlink"/>
                  <w:color w:val="244061"/>
                </w:rPr>
                <w:t xml:space="preserve">AIHW Data Quality Statements</w:t>
              </w:r>
            </w:hyperlink>
            <w:r>
              <w:rPr>
                <w:rStyle w:val="row-content"/>
                <w:color w:val="244061"/>
              </w:rPr>
              <w:t xml:space="preserve">, Superseded 18/11/2019</w:t>
            </w:r>
          </w:p>
          <w:p>
            <w:r>
              <w:br/>
            </w:r>
            <w:r>
              <w:rPr>
                <w:rStyle w:val="row-content"/>
              </w:rPr>
              <w:t xml:space="preserve">Has been superseded by </w:t>
            </w:r>
            <w:hyperlink w:history="true" r:id="Rf92474ef60234fd8">
              <w:r>
                <w:rPr>
                  <w:rStyle w:val="Hyperlink"/>
                </w:rPr>
                <w:t xml:space="preserve">Northern Territory Remote Aboriginal Investment dental data collection, 2019; Quality Statement</w:t>
              </w:r>
            </w:hyperlink>
          </w:p>
          <w:p>
            <w:pPr>
              <w:pStyle w:val="registration-status"/>
              <w:spacing w:before="0" w:after="0"/>
            </w:pPr>
            <w:hyperlink w:history="true" r:id="Rc32ce81d4ea74dfc">
              <w:r>
                <w:rPr>
                  <w:rStyle w:val="Hyperlink"/>
                  <w:color w:val="244061"/>
                </w:rPr>
                <w:t xml:space="preserve">AIHW Data Quality Statements</w:t>
              </w:r>
            </w:hyperlink>
            <w:r>
              <w:rPr>
                <w:rStyle w:val="row-content"/>
                <w:color w:val="244061"/>
              </w:rPr>
              <w:t xml:space="preserve">, Superseded 17/11/2021</w:t>
            </w:r>
          </w:p>
          <w:p>
            <w:r>
              <w:br/>
            </w:r>
          </w:p>
        </w:tc>
      </w:tr>
    </w:tbl>
    <w:p>
      <w:r>
        <w:br/>
      </w:r>
    </w:p>
    <w:sectPr>
      <w:footerReference xmlns:r="http://schemas.openxmlformats.org/officeDocument/2006/relationships" w:type="default" r:id="R8a4d776104a045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723506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27adc545874a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4d776104a0459a" /><Relationship Type="http://schemas.openxmlformats.org/officeDocument/2006/relationships/header" Target="/word/header1.xml" Id="R79f0e5f4c2184f5e" /><Relationship Type="http://schemas.openxmlformats.org/officeDocument/2006/relationships/settings" Target="/word/settings.xml" Id="Rb0cc890e1a0a4cdb" /><Relationship Type="http://schemas.openxmlformats.org/officeDocument/2006/relationships/styles" Target="/word/styles.xml" Id="R69b43c658d9f420c" /><Relationship Type="http://schemas.openxmlformats.org/officeDocument/2006/relationships/numbering" Target="/word/numbering.xml" Id="R9584a6b2942b47b5" /><Relationship Type="http://schemas.openxmlformats.org/officeDocument/2006/relationships/hyperlink" Target="https://meteor.aihw.gov.au/RegistrationAuthority/5" TargetMode="External" Id="Rc41907a24c0144a0" /><Relationship Type="http://schemas.openxmlformats.org/officeDocument/2006/relationships/hyperlink" Target="https://www.legislation.gov.au/Series/C2004A03450" TargetMode="External" Id="R88523ee2045a462b" /><Relationship Type="http://schemas.openxmlformats.org/officeDocument/2006/relationships/hyperlink" Target="http://www.aihw.gov.au/aihw-board/" TargetMode="External" Id="R48d0678e5d3c4e13" /><Relationship Type="http://schemas.openxmlformats.org/officeDocument/2006/relationships/hyperlink" Target="https://www.legislation.gov.au/Series/C2004A03712" TargetMode="External" Id="R49afa102c1b84a10" /><Relationship Type="http://schemas.openxmlformats.org/officeDocument/2006/relationships/hyperlink" Target="https://www.aihw.gov.au/" TargetMode="External" Id="Rc5828e69b8974968" /><Relationship Type="http://schemas.openxmlformats.org/officeDocument/2006/relationships/hyperlink" Target="https://health.nt.gov.au/" TargetMode="External" Id="R75b16e3db42e4cbd" /><Relationship Type="http://schemas.openxmlformats.org/officeDocument/2006/relationships/hyperlink" Target="http://www.aihw.gov.au/" TargetMode="External" Id="R04a24ed277d64ffb" /><Relationship Type="http://schemas.openxmlformats.org/officeDocument/2006/relationships/hyperlink" Target="http://www.federalfinancialrelations.gov.au/content/npa/community_services/national-partnership/NT_remote_aboriginal_investment_NP.pdf" TargetMode="External" Id="R265400caf3b84d12" /><Relationship Type="http://schemas.openxmlformats.org/officeDocument/2006/relationships/hyperlink" Target="https://meteor.aihw.gov.au/content/711536" TargetMode="External" Id="Rfa34f45c685a4a2b" /><Relationship Type="http://schemas.openxmlformats.org/officeDocument/2006/relationships/hyperlink" Target="https://meteor.aihw.gov.au/RegistrationAuthority/5" TargetMode="External" Id="Re611b1ad0d9f4bc9" /><Relationship Type="http://schemas.openxmlformats.org/officeDocument/2006/relationships/hyperlink" Target="https://meteor.aihw.gov.au/content/741715" TargetMode="External" Id="Rf92474ef60234fd8" /><Relationship Type="http://schemas.openxmlformats.org/officeDocument/2006/relationships/hyperlink" Target="https://meteor.aihw.gov.au/RegistrationAuthority/5" TargetMode="External" Id="Rc32ce81d4ea74dfc" /></Relationships>
</file>

<file path=word/_rels/header1.xml.rels>&#65279;<?xml version="1.0" encoding="utf-8"?><Relationships xmlns="http://schemas.openxmlformats.org/package/2006/relationships"><Relationship Type="http://schemas.openxmlformats.org/officeDocument/2006/relationships/image" Target="/media/image.png" Id="R2a27adc545874ae4" /></Relationships>
</file>