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417a714a314487"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33a4662afb4f61">
              <w:r>
                <w:rPr>
                  <w:rStyle w:val="Hyperlink"/>
                  <w:color w:val="244061"/>
                </w:rPr>
                <w:t xml:space="preserve">Health</w:t>
              </w:r>
            </w:hyperlink>
            <w:r>
              <w:rPr>
                <w:rStyle w:val="row-content"/>
                <w:color w:val="244061"/>
              </w:rPr>
              <w:t xml:space="preserve">, Superseded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ea414404f98b402b">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63beb98b39f64a69">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2020–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pStyle w:val="ListParagraph"/>
              <w:numPr>
                <w:ilvl w:val="0"/>
                <w:numId w:val="2"/>
              </w:numPr>
            </w:pPr>
            <w:r>
              <w:rPr>
                <w:rStyle w:val="row-content-rich-text"/>
              </w:rPr>
              <w:t xml:space="preserve">Avoidable rapid readmissions place pressure on finite beds and may reduce access to care for other consumers in need.</w:t>
            </w:r>
          </w:p>
          <w:p>
            <w:pPr>
              <w:pStyle w:val="ListParagraph"/>
              <w:numPr>
                <w:ilvl w:val="0"/>
                <w:numId w:val="2"/>
              </w:numPr>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eb0e30006e416e">
              <w:r>
                <w:rPr>
                  <w:rStyle w:val="Hyperlink"/>
                </w:rPr>
                <w:t xml:space="preserve">Key Performance Indicators for Australian Public Mental Health Services (Jurisdictional level version) (2020)</w:t>
              </w:r>
            </w:hyperlink>
          </w:p>
          <w:p>
            <w:pPr>
              <w:spacing w:before="0" w:after="0"/>
            </w:pPr>
            <w:r>
              <w:rPr>
                <w:rStyle w:val="row-content"/>
                <w:color w:val="244061"/>
              </w:rPr>
              <w:t xml:space="preserve">       </w:t>
            </w:r>
            <w:hyperlink w:history="true" r:id="Ref0bfe64071a4b77">
              <w:r>
                <w:rPr>
                  <w:rStyle w:val="Hyperlink"/>
                  <w:color w:val="244061"/>
                </w:rPr>
                <w:t xml:space="preserve">Health</w:t>
              </w:r>
            </w:hyperlink>
            <w:r>
              <w:rPr>
                <w:rStyle w:val="row-content"/>
                <w:color w:val="244061"/>
              </w:rPr>
              <w:t xml:space="preserve">, Superseded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4"/>
              </w:numPr>
            </w:pPr>
            <w:r>
              <w:rPr>
                <w:rStyle w:val="row-content-rich-text"/>
              </w:rPr>
              <w:t xml:space="preserve">same-day separations</w:t>
            </w:r>
          </w:p>
          <w:p>
            <w:pPr>
              <w:pStyle w:val="ListParagraph"/>
              <w:numPr>
                <w:ilvl w:val="0"/>
                <w:numId w:val="4"/>
              </w:numPr>
            </w:pPr>
            <w:r>
              <w:rPr>
                <w:rStyle w:val="row-content-rich-text"/>
              </w:rPr>
              <w:t xml:space="preserve">separations where the length of stay is one night only and a procedure code for Electroconvulsive therapy (ECT) is recorded.</w:t>
            </w:r>
          </w:p>
          <w:p>
            <w:pPr>
              <w:pStyle w:val="ListParagraph"/>
              <w:numPr>
                <w:ilvl w:val="0"/>
                <w:numId w:val="4"/>
              </w:numPr>
            </w:pPr>
            <w:r>
              <w:rPr>
                <w:rStyle w:val="row-content-rich-text"/>
              </w:rPr>
              <w:t xml:space="preserve">statistical and change of care type separations</w:t>
            </w:r>
          </w:p>
          <w:p>
            <w:pPr>
              <w:pStyle w:val="ListParagraph"/>
              <w:numPr>
                <w:ilvl w:val="0"/>
                <w:numId w:val="4"/>
              </w:numPr>
            </w:pPr>
            <w:r>
              <w:rPr>
                <w:rStyle w:val="row-content-rich-text"/>
              </w:rPr>
              <w:t xml:space="preserve">separations that end in death</w:t>
            </w:r>
          </w:p>
          <w:p>
            <w:pPr>
              <w:pStyle w:val="ListParagraph"/>
              <w:numPr>
                <w:ilvl w:val="0"/>
                <w:numId w:val="4"/>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2020 performance reporting: 2018–19. Readmissions where the initial separation occurred within the reference period are in scope.</w:t>
            </w:r>
          </w:p>
          <w:p>
            <w:pPr>
              <w:pStyle w:val="ListParagraph"/>
              <w:numPr>
                <w:ilvl w:val="0"/>
                <w:numId w:val="5"/>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5"/>
              </w:numPr>
            </w:pPr>
            <w:r>
              <w:rPr>
                <w:rStyle w:val="row-content-rich-text"/>
              </w:rPr>
              <w:t xml:space="preserve">Readmissions where the person is separated and readmitted on the same day are included.</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5"/>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pStyle w:val="ListParagraph"/>
              <w:numPr>
                <w:ilvl w:val="0"/>
                <w:numId w:val="5"/>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d46f9558b9ac44a4">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60583e497489432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level attributes: target population.</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86052e68fea04e3d">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21e198a9450e44ee">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81a2abc7de234471">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5eca07cbdf094f8a">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service—target population group</w:t>
            </w:r>
          </w:p>
          <w:p>
            <w:r>
              <w:rPr>
                <w:rStyle w:val="row-content"/>
                <w:b/>
              </w:rPr>
              <w:t xml:space="preserve">Data Source</w:t>
            </w:r>
          </w:p>
          <w:p>
            <w:hyperlink w:history="true" r:id="R2a8353bf55d048da">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a6e2e290a634b3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7975ebcf2c4329">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042829603de749c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739744db5e549e0">
              <w:r>
                <w:rPr>
                  <w:rStyle w:val="Hyperlink"/>
                </w:rPr>
                <w:t xml:space="preserve">KPIs for Australian Public Mental Health Services: PI 02J – Mental health readmissions to hospital, 2021</w:t>
              </w:r>
            </w:hyperlink>
          </w:p>
          <w:p>
            <w:pPr>
              <w:spacing w:before="0" w:after="0"/>
            </w:pPr>
            <w:r>
              <w:rPr>
                <w:rStyle w:val="row-content"/>
                <w:color w:val="244061"/>
              </w:rPr>
              <w:t xml:space="preserve">       </w:t>
            </w:r>
            <w:hyperlink w:history="true" r:id="R152b83c3d8794a39">
              <w:r>
                <w:rPr>
                  <w:rStyle w:val="Hyperlink"/>
                  <w:color w:val="244061"/>
                </w:rPr>
                <w:t xml:space="preserve">Health</w:t>
              </w:r>
            </w:hyperlink>
            <w:r>
              <w:rPr>
                <w:rStyle w:val="row-content"/>
                <w:color w:val="244061"/>
              </w:rPr>
              <w:t xml:space="preserve">, Superseded 16/09/2022</w:t>
            </w:r>
          </w:p>
          <w:p>
            <w:r>
              <w:br/>
            </w:r>
            <w:r>
              <w:rPr>
                <w:rStyle w:val="row-content"/>
              </w:rPr>
              <w:t xml:space="preserve">See also </w:t>
            </w:r>
            <w:hyperlink w:history="true" r:id="R0e7687c2e20e410c">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57f0a231d1f84916">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504f05989c854c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723381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cdec550033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4f05989c854c0e" /><Relationship Type="http://schemas.openxmlformats.org/officeDocument/2006/relationships/header" Target="/word/header1.xml" Id="Rf31c9977565b4894" /><Relationship Type="http://schemas.openxmlformats.org/officeDocument/2006/relationships/settings" Target="/word/settings.xml" Id="Rcc6378ae11364928" /><Relationship Type="http://schemas.openxmlformats.org/officeDocument/2006/relationships/styles" Target="/word/styles.xml" Id="R15c2c72a0c8a47c8" /><Relationship Type="http://schemas.openxmlformats.org/officeDocument/2006/relationships/hyperlink" Target="https://meteor.aihw.gov.au/RegistrationAuthority/12" TargetMode="External" Id="Rd933a4662afb4f61" /><Relationship Type="http://schemas.openxmlformats.org/officeDocument/2006/relationships/hyperlink" Target="https://meteor.aihw.gov.au/content/327268" TargetMode="External" Id="Rea414404f98b402b" /><Relationship Type="http://schemas.openxmlformats.org/officeDocument/2006/relationships/hyperlink" Target="https://meteor.aihw.gov.au/content/409067" TargetMode="External" Id="R63beb98b39f64a69" /><Relationship Type="http://schemas.openxmlformats.org/officeDocument/2006/relationships/numbering" Target="/word/numbering.xml" Id="R2681a43ca0a34466" /><Relationship Type="http://schemas.openxmlformats.org/officeDocument/2006/relationships/hyperlink" Target="https://meteor.aihw.gov.au/content/720487" TargetMode="External" Id="R82eb0e30006e416e" /><Relationship Type="http://schemas.openxmlformats.org/officeDocument/2006/relationships/hyperlink" Target="https://meteor.aihw.gov.au/RegistrationAuthority/12" TargetMode="External" Id="Ref0bfe64071a4b77" /><Relationship Type="http://schemas.openxmlformats.org/officeDocument/2006/relationships/hyperlink" Target="https://meteor.aihw.gov.au/content/426458" TargetMode="External" Id="Rd46f9558b9ac44a4" /><Relationship Type="http://schemas.openxmlformats.org/officeDocument/2006/relationships/hyperlink" Target="https://meteor.aihw.gov.au/content/426458" TargetMode="External" Id="R60583e4974894320" /><Relationship Type="http://schemas.openxmlformats.org/officeDocument/2006/relationships/hyperlink" Target="https://meteor.aihw.gov.au/content/426458" TargetMode="External" Id="R86052e68fea04e3d" /><Relationship Type="http://schemas.openxmlformats.org/officeDocument/2006/relationships/hyperlink" Target="https://meteor.aihw.gov.au/content/426458" TargetMode="External" Id="R21e198a9450e44ee" /><Relationship Type="http://schemas.openxmlformats.org/officeDocument/2006/relationships/hyperlink" Target="https://meteor.aihw.gov.au/content/426458" TargetMode="External" Id="R81a2abc7de234471" /><Relationship Type="http://schemas.openxmlformats.org/officeDocument/2006/relationships/hyperlink" Target="https://meteor.aihw.gov.au/content/426458" TargetMode="External" Id="R5eca07cbdf094f8a" /><Relationship Type="http://schemas.openxmlformats.org/officeDocument/2006/relationships/hyperlink" Target="https://meteor.aihw.gov.au/content/426458" TargetMode="External" Id="R2a8353bf55d048da" /><Relationship Type="http://schemas.openxmlformats.org/officeDocument/2006/relationships/hyperlink" Target="https://meteor.aihw.gov.au/content/721196" TargetMode="External" Id="Rca6e2e290a634b33" /><Relationship Type="http://schemas.openxmlformats.org/officeDocument/2006/relationships/hyperlink" Target="https://meteor.aihw.gov.au/content/709394" TargetMode="External" Id="R767975ebcf2c4329" /><Relationship Type="http://schemas.openxmlformats.org/officeDocument/2006/relationships/hyperlink" Target="https://meteor.aihw.gov.au/RegistrationAuthority/12" TargetMode="External" Id="R042829603de749ce" /><Relationship Type="http://schemas.openxmlformats.org/officeDocument/2006/relationships/hyperlink" Target="https://meteor.aihw.gov.au/content/739871" TargetMode="External" Id="Re739744db5e549e0" /><Relationship Type="http://schemas.openxmlformats.org/officeDocument/2006/relationships/hyperlink" Target="https://meteor.aihw.gov.au/RegistrationAuthority/12" TargetMode="External" Id="R152b83c3d8794a39" /><Relationship Type="http://schemas.openxmlformats.org/officeDocument/2006/relationships/hyperlink" Target="https://meteor.aihw.gov.au/content/288889" TargetMode="External" Id="R0e7687c2e20e410c" /><Relationship Type="http://schemas.openxmlformats.org/officeDocument/2006/relationships/hyperlink" Target="https://meteor.aihw.gov.au/RegistrationAuthority/12" TargetMode="External" Id="R57f0a231d1f84916" /></Relationships>
</file>

<file path=word/_rels/header1.xml.rels>&#65279;<?xml version="1.0" encoding="utf-8"?><Relationships xmlns="http://schemas.openxmlformats.org/package/2006/relationships"><Relationship Type="http://schemas.openxmlformats.org/officeDocument/2006/relationships/image" Target="/media/image.png" Id="Ra8cdec5500334780" /></Relationships>
</file>